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23947" w:rsidR="00EE27F8" w:rsidP="3B4457E7" w:rsidRDefault="00EE27F8" w14:paraId="70B5FF56" w14:textId="161A9434" w14:noSpellErr="1">
      <w:pPr>
        <w:shd w:val="clear" w:color="auto" w:fill="FFFFFF" w:themeFill="background1"/>
        <w:spacing w:line="276" w:lineRule="auto"/>
        <w:jc w:val="center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222222"/>
          <w:sz w:val="26"/>
          <w:szCs w:val="26"/>
          <w:lang w:eastAsia="es-CL"/>
        </w:rPr>
      </w:pPr>
      <w:r w:rsidRPr="3B4457E7" w:rsidR="00EE27F8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222222"/>
          <w:sz w:val="26"/>
          <w:szCs w:val="26"/>
          <w:lang w:eastAsia="es-CL"/>
        </w:rPr>
        <w:t>SINDROME EDEMATOSO EN PEDIATRIA</w:t>
      </w:r>
    </w:p>
    <w:p w:rsidRPr="00C300DC" w:rsidR="00EE27F8" w:rsidP="00C300DC" w:rsidRDefault="00EE27F8" w14:paraId="11116E8C" w14:textId="77777777">
      <w:pPr>
        <w:shd w:val="clear" w:color="auto" w:fill="FFFFFF"/>
        <w:spacing w:line="276" w:lineRule="auto"/>
        <w:jc w:val="both"/>
        <w:rPr>
          <w:rFonts w:eastAsia="Times New Roman" w:asciiTheme="majorHAnsi" w:hAnsiTheme="majorHAnsi" w:cstheme="majorHAnsi"/>
          <w:color w:val="222222"/>
          <w:lang w:eastAsia="es-CL"/>
        </w:rPr>
      </w:pPr>
      <w:r w:rsidRPr="00C23947">
        <w:rPr>
          <w:rFonts w:eastAsia="Times New Roman" w:asciiTheme="majorHAnsi" w:hAnsiTheme="majorHAnsi" w:cstheme="majorHAnsi"/>
          <w:b/>
          <w:bCs/>
          <w:color w:val="222222"/>
          <w:sz w:val="20"/>
          <w:szCs w:val="20"/>
          <w:lang w:eastAsia="es-CL"/>
        </w:rPr>
        <w:t>Autora:</w:t>
      </w:r>
      <w:r w:rsidRPr="00C300DC">
        <w:rPr>
          <w:rFonts w:eastAsia="Times New Roman" w:asciiTheme="majorHAnsi" w:hAnsiTheme="majorHAnsi" w:cstheme="majorHAnsi"/>
          <w:color w:val="222222"/>
          <w:sz w:val="20"/>
          <w:szCs w:val="20"/>
          <w:lang w:eastAsia="es-CL"/>
        </w:rPr>
        <w:t xml:space="preserve"> Dra. Javiera Navia N, Residente de Medicina Familiar UC</w:t>
      </w:r>
      <w:r w:rsidRPr="00C300DC">
        <w:rPr>
          <w:rFonts w:eastAsia="Times New Roman" w:asciiTheme="majorHAnsi" w:hAnsiTheme="majorHAnsi" w:cstheme="majorHAnsi"/>
          <w:color w:val="222222"/>
          <w:lang w:eastAsia="es-CL"/>
        </w:rPr>
        <w:t xml:space="preserve">. </w:t>
      </w:r>
    </w:p>
    <w:p w:rsidRPr="00C300DC" w:rsidR="00EE27F8" w:rsidP="00C300DC" w:rsidRDefault="00EE27F8" w14:paraId="64CA9E57" w14:textId="77777777">
      <w:pPr>
        <w:shd w:val="clear" w:color="auto" w:fill="FFFFFF"/>
        <w:spacing w:line="276" w:lineRule="auto"/>
        <w:jc w:val="both"/>
        <w:rPr>
          <w:rFonts w:eastAsia="Times New Roman" w:asciiTheme="majorHAnsi" w:hAnsiTheme="majorHAnsi" w:cstheme="majorHAnsi"/>
          <w:color w:val="222222"/>
          <w:lang w:eastAsia="es-CL"/>
        </w:rPr>
      </w:pPr>
      <w:r w:rsidRPr="00C23947">
        <w:rPr>
          <w:rFonts w:eastAsia="Times New Roman" w:asciiTheme="majorHAnsi" w:hAnsiTheme="majorHAnsi" w:cstheme="majorHAnsi"/>
          <w:b/>
          <w:bCs/>
          <w:color w:val="222222"/>
          <w:sz w:val="20"/>
          <w:szCs w:val="20"/>
          <w:lang w:eastAsia="es-CL"/>
        </w:rPr>
        <w:t>Editora:</w:t>
      </w:r>
      <w:r w:rsidRPr="00C300DC">
        <w:rPr>
          <w:rFonts w:eastAsia="Times New Roman" w:asciiTheme="majorHAnsi" w:hAnsiTheme="majorHAnsi" w:cstheme="majorHAnsi"/>
          <w:color w:val="222222"/>
          <w:sz w:val="20"/>
          <w:szCs w:val="20"/>
          <w:lang w:eastAsia="es-CL"/>
        </w:rPr>
        <w:t xml:space="preserve"> Dra. Pamela Rojas G., </w:t>
      </w:r>
      <w:r w:rsidRPr="00C23947">
        <w:rPr>
          <w:rFonts w:eastAsia="Times New Roman" w:asciiTheme="majorHAnsi" w:hAnsiTheme="majorHAnsi" w:cstheme="majorHAnsi"/>
          <w:sz w:val="20"/>
          <w:szCs w:val="20"/>
          <w:lang w:eastAsia="es-CL"/>
        </w:rPr>
        <w:t>Docente</w:t>
      </w:r>
      <w:r w:rsidRPr="00C300DC">
        <w:rPr>
          <w:rFonts w:eastAsia="Times New Roman" w:asciiTheme="majorHAnsi" w:hAnsiTheme="majorHAnsi" w:cstheme="majorHAnsi"/>
          <w:color w:val="222222"/>
          <w:sz w:val="20"/>
          <w:szCs w:val="20"/>
          <w:lang w:eastAsia="es-CL"/>
        </w:rPr>
        <w:t xml:space="preserve"> de Medicina Familiar UC.</w:t>
      </w:r>
      <w:r w:rsidRPr="00C300DC">
        <w:rPr>
          <w:rFonts w:eastAsia="Times New Roman" w:asciiTheme="majorHAnsi" w:hAnsiTheme="majorHAnsi" w:cstheme="majorHAnsi"/>
          <w:color w:val="222222"/>
          <w:lang w:eastAsia="es-CL"/>
        </w:rPr>
        <w:t xml:space="preserve"> </w:t>
      </w:r>
    </w:p>
    <w:p w:rsidRPr="00C300DC" w:rsidR="00EE27F8" w:rsidP="00C300DC" w:rsidRDefault="00EE27F8" w14:paraId="4C295342" w14:textId="77777777">
      <w:pPr>
        <w:shd w:val="clear" w:color="auto" w:fill="FFFFFF"/>
        <w:spacing w:line="276" w:lineRule="auto"/>
        <w:jc w:val="both"/>
        <w:rPr>
          <w:rFonts w:eastAsia="Times New Roman" w:asciiTheme="majorHAnsi" w:hAnsiTheme="majorHAnsi" w:cstheme="majorHAnsi"/>
          <w:color w:val="222222"/>
          <w:lang w:eastAsia="es-CL"/>
        </w:rPr>
      </w:pPr>
      <w:r w:rsidRPr="00C23947">
        <w:rPr>
          <w:rFonts w:eastAsia="Times New Roman" w:asciiTheme="majorHAnsi" w:hAnsiTheme="majorHAnsi" w:cstheme="majorHAnsi"/>
          <w:b/>
          <w:bCs/>
          <w:color w:val="222222"/>
          <w:sz w:val="20"/>
          <w:szCs w:val="20"/>
          <w:lang w:eastAsia="es-CL"/>
        </w:rPr>
        <w:t>Fecha:</w:t>
      </w:r>
      <w:r w:rsidRPr="00C300DC">
        <w:rPr>
          <w:rFonts w:eastAsia="Times New Roman" w:asciiTheme="majorHAnsi" w:hAnsiTheme="majorHAnsi" w:cstheme="majorHAnsi"/>
          <w:color w:val="222222"/>
          <w:sz w:val="20"/>
          <w:szCs w:val="20"/>
          <w:lang w:eastAsia="es-CL"/>
        </w:rPr>
        <w:t xml:space="preserve"> noviembre 2023</w:t>
      </w:r>
      <w:r w:rsidRPr="00C300DC">
        <w:rPr>
          <w:rFonts w:eastAsia="Times New Roman" w:asciiTheme="majorHAnsi" w:hAnsiTheme="majorHAnsi" w:cstheme="majorHAnsi"/>
          <w:color w:val="222222"/>
          <w:lang w:eastAsia="es-CL"/>
        </w:rPr>
        <w:t xml:space="preserve"> </w:t>
      </w:r>
    </w:p>
    <w:p w:rsidRPr="00C23947" w:rsidR="00C23947" w:rsidP="00C300DC" w:rsidRDefault="00C23947" w14:paraId="755D9200" w14:textId="5A3251BB">
      <w:pPr>
        <w:shd w:val="clear" w:color="auto" w:fill="FFFFFF"/>
        <w:spacing w:line="276" w:lineRule="auto"/>
        <w:jc w:val="both"/>
        <w:rPr>
          <w:rFonts w:eastAsia="Times New Roman" w:asciiTheme="majorHAnsi" w:hAnsiTheme="majorHAnsi" w:cstheme="majorHAnsi"/>
          <w:b/>
          <w:bCs/>
          <w:color w:val="222222"/>
          <w:lang w:eastAsia="es-CL"/>
        </w:rPr>
      </w:pPr>
      <w:r w:rsidRPr="00C23947">
        <w:rPr>
          <w:rFonts w:eastAsia="Times New Roman" w:asciiTheme="majorHAnsi" w:hAnsiTheme="majorHAnsi" w:cstheme="majorHAnsi"/>
          <w:b/>
          <w:bCs/>
          <w:color w:val="222222"/>
          <w:lang w:eastAsia="es-CL"/>
        </w:rPr>
        <w:t>Portada:</w:t>
      </w:r>
    </w:p>
    <w:p w:rsidRPr="00C300DC" w:rsidR="00EE27F8" w:rsidP="00C300DC" w:rsidRDefault="00F7557E" w14:paraId="255FC564" w14:textId="69274AAA">
      <w:pPr>
        <w:shd w:val="clear" w:color="auto" w:fill="FFFFFF"/>
        <w:spacing w:line="276" w:lineRule="auto"/>
        <w:jc w:val="both"/>
        <w:rPr>
          <w:rFonts w:eastAsia="Times New Roman" w:asciiTheme="majorHAnsi" w:hAnsiTheme="majorHAnsi" w:cstheme="majorHAnsi"/>
          <w:color w:val="222222"/>
          <w:lang w:eastAsia="es-CL"/>
        </w:rPr>
      </w:pPr>
      <w:r>
        <w:rPr>
          <w:rFonts w:eastAsia="Times New Roman" w:asciiTheme="majorHAnsi" w:hAnsiTheme="majorHAnsi" w:cstheme="majorHAnsi"/>
          <w:color w:val="222222"/>
          <w:lang w:eastAsia="es-CL"/>
        </w:rPr>
        <w:t>El edema en niños puede ser un desafío en las consultas de atención primaria debido a sus múltiples causas y, por ende, manejos. E</w:t>
      </w:r>
      <w:r w:rsidRPr="00C300DC" w:rsidR="00EE27F8">
        <w:rPr>
          <w:rFonts w:eastAsia="Times New Roman" w:asciiTheme="majorHAnsi" w:hAnsiTheme="majorHAnsi" w:cstheme="majorHAnsi"/>
          <w:color w:val="222222"/>
          <w:lang w:eastAsia="es-CL"/>
        </w:rPr>
        <w:t xml:space="preserve">ste artículo </w:t>
      </w:r>
      <w:r>
        <w:rPr>
          <w:rFonts w:eastAsia="Times New Roman" w:asciiTheme="majorHAnsi" w:hAnsiTheme="majorHAnsi" w:cstheme="majorHAnsi"/>
          <w:color w:val="222222"/>
          <w:lang w:eastAsia="es-CL"/>
        </w:rPr>
        <w:t xml:space="preserve">plantea un </w:t>
      </w:r>
      <w:r w:rsidRPr="00C300DC" w:rsidR="00EE27F8">
        <w:rPr>
          <w:rFonts w:eastAsia="Times New Roman" w:asciiTheme="majorHAnsi" w:hAnsiTheme="majorHAnsi" w:cstheme="majorHAnsi"/>
          <w:color w:val="222222"/>
          <w:lang w:eastAsia="es-CL"/>
        </w:rPr>
        <w:t xml:space="preserve">enfrentamiento </w:t>
      </w:r>
      <w:r>
        <w:rPr>
          <w:rFonts w:eastAsia="Times New Roman" w:asciiTheme="majorHAnsi" w:hAnsiTheme="majorHAnsi" w:cstheme="majorHAnsi"/>
          <w:color w:val="222222"/>
          <w:lang w:eastAsia="es-CL"/>
        </w:rPr>
        <w:t>inicial y orienta sobre a</w:t>
      </w:r>
      <w:r w:rsidRPr="00C300DC" w:rsidR="00EE27F8">
        <w:rPr>
          <w:rFonts w:eastAsia="Times New Roman" w:asciiTheme="majorHAnsi" w:hAnsiTheme="majorHAnsi" w:cstheme="majorHAnsi"/>
          <w:color w:val="222222"/>
          <w:lang w:eastAsia="es-CL"/>
        </w:rPr>
        <w:t xml:space="preserve">lgunos diagnósticos diferenciales </w:t>
      </w:r>
      <w:r>
        <w:rPr>
          <w:rFonts w:eastAsia="Times New Roman" w:asciiTheme="majorHAnsi" w:hAnsiTheme="majorHAnsi" w:cstheme="majorHAnsi"/>
          <w:color w:val="222222"/>
          <w:lang w:eastAsia="es-CL"/>
        </w:rPr>
        <w:t xml:space="preserve">de edema en la población pediátrica. </w:t>
      </w:r>
    </w:p>
    <w:p w:rsidRPr="00C300DC" w:rsidR="00EE27F8" w:rsidP="00C300DC" w:rsidRDefault="00EE27F8" w14:paraId="6624581B" w14:textId="5633D485">
      <w:pPr>
        <w:shd w:val="clear" w:color="auto" w:fill="FFFFFF"/>
        <w:spacing w:line="276" w:lineRule="auto"/>
        <w:jc w:val="both"/>
        <w:rPr>
          <w:rFonts w:eastAsia="Times New Roman" w:asciiTheme="majorHAnsi" w:hAnsiTheme="majorHAnsi" w:cstheme="majorHAnsi"/>
          <w:color w:val="222222"/>
          <w:lang w:eastAsia="es-CL"/>
        </w:rPr>
      </w:pPr>
      <w:r w:rsidRPr="00C23947">
        <w:rPr>
          <w:rFonts w:eastAsia="Times New Roman" w:asciiTheme="majorHAnsi" w:hAnsiTheme="majorHAnsi" w:cstheme="majorHAnsi"/>
          <w:b/>
          <w:bCs/>
          <w:color w:val="222222"/>
          <w:lang w:eastAsia="es-CL"/>
        </w:rPr>
        <w:t>Palabras clave</w:t>
      </w:r>
      <w:r w:rsidRPr="00C300DC">
        <w:rPr>
          <w:rFonts w:eastAsia="Times New Roman" w:asciiTheme="majorHAnsi" w:hAnsiTheme="majorHAnsi" w:cstheme="majorHAnsi"/>
          <w:color w:val="222222"/>
          <w:lang w:eastAsia="es-CL"/>
        </w:rPr>
        <w:t>: edema,</w:t>
      </w:r>
      <w:r w:rsidR="00665963">
        <w:rPr>
          <w:rFonts w:eastAsia="Times New Roman" w:asciiTheme="majorHAnsi" w:hAnsiTheme="majorHAnsi" w:cstheme="majorHAnsi"/>
          <w:color w:val="222222"/>
          <w:lang w:eastAsia="es-CL"/>
        </w:rPr>
        <w:t xml:space="preserve"> diagnóstico, aten</w:t>
      </w:r>
      <w:r w:rsidRPr="00C300DC">
        <w:rPr>
          <w:rFonts w:eastAsia="Times New Roman" w:asciiTheme="majorHAnsi" w:hAnsiTheme="majorHAnsi" w:cstheme="majorHAnsi"/>
          <w:color w:val="222222"/>
          <w:lang w:eastAsia="es-CL"/>
        </w:rPr>
        <w:t>ción primaria.</w:t>
      </w:r>
    </w:p>
    <w:p w:rsidRPr="00C23947" w:rsidR="00EE27F8" w:rsidP="00C300DC" w:rsidRDefault="00105BF2" w14:paraId="1B54E84A" w14:textId="3C1E3AC1">
      <w:pPr>
        <w:shd w:val="clear" w:color="auto" w:fill="FFFFFF"/>
        <w:spacing w:line="276" w:lineRule="auto"/>
        <w:jc w:val="both"/>
        <w:rPr>
          <w:rFonts w:eastAsia="Times New Roman" w:asciiTheme="majorHAnsi" w:hAnsiTheme="majorHAnsi" w:cstheme="majorHAnsi"/>
          <w:b/>
          <w:bCs/>
          <w:color w:val="222222"/>
          <w:sz w:val="20"/>
          <w:szCs w:val="20"/>
          <w:lang w:eastAsia="es-CL"/>
        </w:rPr>
      </w:pPr>
      <w:r w:rsidRPr="00C23947">
        <w:rPr>
          <w:rFonts w:eastAsia="Times New Roman" w:asciiTheme="majorHAnsi" w:hAnsiTheme="majorHAnsi" w:cstheme="majorHAnsi"/>
          <w:b/>
          <w:bCs/>
          <w:color w:val="222222"/>
          <w:sz w:val="20"/>
          <w:szCs w:val="20"/>
          <w:lang w:eastAsia="es-CL"/>
        </w:rPr>
        <w:t>I</w:t>
      </w:r>
      <w:r w:rsidRPr="00C23947" w:rsidR="00C23947">
        <w:rPr>
          <w:rFonts w:eastAsia="Times New Roman" w:asciiTheme="majorHAnsi" w:hAnsiTheme="majorHAnsi" w:cstheme="majorHAnsi"/>
          <w:b/>
          <w:bCs/>
          <w:color w:val="222222"/>
          <w:sz w:val="20"/>
          <w:szCs w:val="20"/>
          <w:lang w:eastAsia="es-CL"/>
        </w:rPr>
        <w:t>NTRODUCCIÓN</w:t>
      </w:r>
    </w:p>
    <w:p w:rsidRPr="00BB75E1" w:rsidR="00105BF2" w:rsidP="3B4457E7" w:rsidRDefault="00105BF2" w14:paraId="2360289D" w14:textId="19606C2F">
      <w:pPr>
        <w:shd w:val="clear" w:color="auto" w:fill="FFFFFF" w:themeFill="background1"/>
        <w:spacing w:line="276" w:lineRule="auto"/>
        <w:jc w:val="both"/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</w:pPr>
      <w:r w:rsidRPr="3B4457E7" w:rsidR="00105BF2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El edema </w:t>
      </w:r>
      <w:r w:rsidRPr="3B4457E7" w:rsidR="0079767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se</w:t>
      </w:r>
      <w:r w:rsidRPr="3B4457E7" w:rsidR="00105BF2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define como la acumulación de líquido en el espacio intersticial y</w:t>
      </w:r>
      <w:r w:rsidRPr="3B4457E7" w:rsidR="0079767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requiere</w:t>
      </w:r>
      <w:r w:rsidRPr="3B4457E7" w:rsidR="00105BF2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de </w:t>
      </w:r>
      <w:r w:rsidRPr="3B4457E7" w:rsidR="00D2725B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dos</w:t>
      </w:r>
      <w:r w:rsidRPr="3B4457E7" w:rsidR="00105BF2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elementos para su formación: </w:t>
      </w:r>
      <w:r w:rsidRPr="3B4457E7" w:rsidR="00D2725B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a</w:t>
      </w:r>
      <w:r w:rsidRPr="3B4457E7" w:rsidR="00105BF2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lteración de la hemodinamia capilar y retención de sodio y agua </w:t>
      </w:r>
      <w:r w:rsidRPr="3B4457E7" w:rsidR="0079767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a nivel </w:t>
      </w:r>
      <w:r w:rsidRPr="3B4457E7" w:rsidR="0079767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renal</w:t>
      </w:r>
      <w:r w:rsidRPr="3B4457E7" w:rsidR="3810E045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</w:t>
      </w:r>
      <w:r w:rsidRPr="3B4457E7" w:rsidR="000F7D0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vertAlign w:val="superscript"/>
          <w:lang w:eastAsia="es-CL"/>
        </w:rPr>
        <w:t>(</w:t>
      </w:r>
      <w:r w:rsidRPr="3B4457E7" w:rsidR="000F7D0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vertAlign w:val="superscript"/>
          <w:lang w:eastAsia="es-CL"/>
        </w:rPr>
        <w:t>1)</w:t>
      </w:r>
      <w:r w:rsidRPr="3B4457E7" w:rsidR="0079767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. </w:t>
      </w:r>
      <w:r w:rsidRPr="3B4457E7" w:rsidR="00D2725B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Según su fisiopatología puede desencadenarse por un aumento de la presión hidrostática capilar, una disminución de la presión oncótica intravascular, </w:t>
      </w:r>
      <w:r w:rsidRPr="3B4457E7" w:rsidR="00C836C5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un </w:t>
      </w:r>
      <w:r w:rsidRPr="3B4457E7" w:rsidR="00D2725B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aumento de la perm</w:t>
      </w:r>
      <w:r w:rsidRPr="3B4457E7" w:rsidR="00A10BE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e</w:t>
      </w:r>
      <w:r w:rsidRPr="3B4457E7" w:rsidR="00D2725B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abilidad capilar, </w:t>
      </w:r>
      <w:r w:rsidRPr="3B4457E7" w:rsidR="00C836C5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un </w:t>
      </w:r>
      <w:r w:rsidRPr="3B4457E7" w:rsidR="00D2725B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aumento de la presión onc</w:t>
      </w:r>
      <w:r w:rsidRPr="3B4457E7" w:rsidR="00C836C5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ó</w:t>
      </w:r>
      <w:r w:rsidRPr="3B4457E7" w:rsidR="00D2725B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tica intersticial</w:t>
      </w:r>
      <w:r w:rsidRPr="3B4457E7" w:rsidR="00C836C5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, o por una</w:t>
      </w:r>
      <w:r w:rsidRPr="3B4457E7" w:rsidR="00D2725B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alteración del drenaje </w:t>
      </w:r>
      <w:r w:rsidRPr="3B4457E7" w:rsidR="00D2725B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linfático</w:t>
      </w:r>
      <w:r w:rsidRPr="3B4457E7" w:rsidR="18AD5DF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</w:t>
      </w:r>
      <w:r w:rsidRPr="3B4457E7" w:rsidR="000F7D0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vertAlign w:val="superscript"/>
          <w:lang w:eastAsia="es-CL"/>
        </w:rPr>
        <w:t>(</w:t>
      </w:r>
      <w:r w:rsidRPr="3B4457E7" w:rsidR="000F7D0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vertAlign w:val="superscript"/>
          <w:lang w:eastAsia="es-CL"/>
        </w:rPr>
        <w:t>2,3)</w:t>
      </w:r>
      <w:r w:rsidRPr="3B4457E7" w:rsidR="00C836C5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. </w:t>
      </w:r>
    </w:p>
    <w:p w:rsidRPr="00BB75E1" w:rsidR="00EE27F8" w:rsidP="3B4457E7" w:rsidRDefault="00C836C5" w14:paraId="3B02DEAF" w14:textId="130393CD">
      <w:pPr>
        <w:shd w:val="clear" w:color="auto" w:fill="FFFFFF" w:themeFill="background1"/>
        <w:spacing w:line="276" w:lineRule="auto"/>
        <w:jc w:val="both"/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</w:pPr>
      <w:r w:rsidRPr="3B4457E7" w:rsidR="00C836C5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Clínicamente se clasifica s</w:t>
      </w:r>
      <w:r w:rsidRPr="3B4457E7" w:rsidR="00EE27F8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egún su extensión en </w:t>
      </w:r>
      <w:r w:rsidRPr="3B4457E7" w:rsidR="00C836C5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edema </w:t>
      </w:r>
      <w:r w:rsidRPr="3B4457E7" w:rsidR="00EE27F8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localizado o generalizado</w:t>
      </w:r>
      <w:r w:rsidRPr="3B4457E7" w:rsidR="00C836C5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. </w:t>
      </w:r>
      <w:r w:rsidRPr="3B4457E7" w:rsidR="00297334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Dentro de las principales causas, el edema generalizado puede dividirse en origen renal, cardiaco o </w:t>
      </w:r>
      <w:r w:rsidRPr="3B4457E7" w:rsidR="00297334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hepático</w:t>
      </w:r>
      <w:r w:rsidRPr="3B4457E7" w:rsidR="006B2352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</w:t>
      </w:r>
      <w:r w:rsidRPr="3B4457E7" w:rsidR="000F7D0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vertAlign w:val="superscript"/>
          <w:lang w:eastAsia="es-CL"/>
        </w:rPr>
        <w:t>(</w:t>
      </w:r>
      <w:r w:rsidRPr="3B4457E7" w:rsidR="000F7D0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vertAlign w:val="superscript"/>
          <w:lang w:eastAsia="es-CL"/>
        </w:rPr>
        <w:t>2)</w:t>
      </w:r>
      <w:r w:rsidRPr="3B4457E7" w:rsidR="00297334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. </w:t>
      </w:r>
    </w:p>
    <w:p w:rsidR="00C836C5" w:rsidP="00C300DC" w:rsidRDefault="00C836C5" w14:paraId="11157FDC" w14:textId="0D059981">
      <w:pPr>
        <w:shd w:val="clear" w:color="auto" w:fill="FFFFFF"/>
        <w:spacing w:line="276" w:lineRule="auto"/>
        <w:jc w:val="both"/>
        <w:rPr>
          <w:rFonts w:eastAsia="Times New Roman" w:asciiTheme="majorHAnsi" w:hAnsiTheme="majorHAnsi" w:cstheme="majorHAnsi"/>
          <w:color w:val="222222"/>
          <w:sz w:val="20"/>
          <w:szCs w:val="20"/>
          <w:lang w:eastAsia="es-CL"/>
        </w:rPr>
      </w:pPr>
      <w:r w:rsidRPr="00BB75E1">
        <w:rPr>
          <w:rFonts w:eastAsia="Times New Roman" w:asciiTheme="majorHAnsi" w:hAnsiTheme="majorHAnsi" w:cstheme="majorHAnsi"/>
          <w:color w:val="222222"/>
          <w:sz w:val="20"/>
          <w:szCs w:val="20"/>
          <w:lang w:eastAsia="es-CL"/>
        </w:rPr>
        <w:t>En la</w:t>
      </w:r>
      <w:r w:rsidRPr="00BB75E1" w:rsidR="00A10BE0">
        <w:rPr>
          <w:rFonts w:eastAsia="Times New Roman" w:asciiTheme="majorHAnsi" w:hAnsiTheme="majorHAnsi" w:cstheme="majorHAnsi"/>
          <w:color w:val="222222"/>
          <w:sz w:val="20"/>
          <w:szCs w:val="20"/>
          <w:lang w:eastAsia="es-CL"/>
        </w:rPr>
        <w:t>s siguientes tablas (1 y 2)</w:t>
      </w:r>
      <w:r w:rsidRPr="00BB75E1">
        <w:rPr>
          <w:rFonts w:eastAsia="Times New Roman" w:asciiTheme="majorHAnsi" w:hAnsiTheme="majorHAnsi" w:cstheme="majorHAnsi"/>
          <w:color w:val="222222"/>
          <w:sz w:val="20"/>
          <w:szCs w:val="20"/>
          <w:lang w:eastAsia="es-CL"/>
        </w:rPr>
        <w:t xml:space="preserve"> se observan las distintas causas según su extensión y fisiopatología. </w:t>
      </w:r>
    </w:p>
    <w:p w:rsidRPr="00C94825" w:rsidR="00E52823" w:rsidP="00C300DC" w:rsidRDefault="00C94825" w14:paraId="14376D6A" w14:textId="6B9E0CE8">
      <w:pPr>
        <w:shd w:val="clear" w:color="auto" w:fill="FFFFFF"/>
        <w:spacing w:line="276" w:lineRule="auto"/>
        <w:jc w:val="both"/>
        <w:rPr>
          <w:rFonts w:eastAsia="Times New Roman" w:asciiTheme="majorHAnsi" w:hAnsiTheme="majorHAnsi" w:cstheme="majorHAnsi"/>
          <w:b/>
          <w:bCs/>
          <w:color w:val="222222"/>
          <w:sz w:val="20"/>
          <w:szCs w:val="20"/>
          <w:lang w:eastAsia="es-CL"/>
        </w:rPr>
      </w:pPr>
      <w:r w:rsidRPr="3B4457E7" w:rsidR="00C94825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222222"/>
          <w:sz w:val="20"/>
          <w:szCs w:val="20"/>
          <w:lang w:eastAsia="es-CL"/>
        </w:rPr>
        <w:t>Tabla 1: Causas de edema generalizado</w:t>
      </w:r>
    </w:p>
    <w:tbl>
      <w:tblPr>
        <w:tblStyle w:val="Tablaconcuadrcula"/>
        <w:tblW w:w="0" w:type="auto"/>
        <w:jc w:val="left"/>
        <w:tblLayout w:type="fixed"/>
        <w:tblLook w:val="06A0" w:firstRow="1" w:lastRow="0" w:firstColumn="1" w:lastColumn="0" w:noHBand="1" w:noVBand="1"/>
      </w:tblPr>
      <w:tblGrid>
        <w:gridCol w:w="1875"/>
        <w:gridCol w:w="2985"/>
        <w:gridCol w:w="3975"/>
      </w:tblGrid>
      <w:tr w:rsidR="3B4457E7" w:rsidTr="3B4457E7" w14:paraId="294E0E74">
        <w:trPr>
          <w:trHeight w:val="300"/>
        </w:trPr>
        <w:tc>
          <w:tcPr>
            <w:tcW w:w="1875" w:type="dxa"/>
            <w:vMerge w:val="restart"/>
            <w:tcMar/>
          </w:tcPr>
          <w:p w:rsidR="4EE87F97" w:rsidP="3B4457E7" w:rsidRDefault="4EE87F97" w14:paraId="0ECD3601" w14:textId="17B9944B">
            <w:pPr>
              <w:pStyle w:val="Normal"/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</w:pPr>
            <w:r w:rsidRPr="3B4457E7" w:rsidR="4EE87F97"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  <w:t>Aumento</w:t>
            </w:r>
            <w:r w:rsidRPr="3B4457E7" w:rsidR="4EE87F97"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  <w:t xml:space="preserve"> de la presión hidrostática capilar</w:t>
            </w:r>
          </w:p>
          <w:p w:rsidR="3B4457E7" w:rsidP="3B4457E7" w:rsidRDefault="3B4457E7" w14:paraId="58C787B9" w14:textId="58DD4799">
            <w:pPr>
              <w:pStyle w:val="Normal"/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color w:val="222222"/>
                <w:sz w:val="20"/>
                <w:szCs w:val="20"/>
                <w:lang w:eastAsia="es-CL"/>
              </w:rPr>
            </w:pPr>
          </w:p>
        </w:tc>
        <w:tc>
          <w:tcPr>
            <w:tcW w:w="2985" w:type="dxa"/>
            <w:vMerge w:val="restart"/>
            <w:tcMar/>
          </w:tcPr>
          <w:p w:rsidR="4EE87F97" w:rsidP="3B4457E7" w:rsidRDefault="4EE87F97" w14:paraId="69AD9F9E" w14:textId="72E8574A">
            <w:pPr>
              <w:pStyle w:val="Normal"/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</w:pPr>
            <w:r w:rsidRPr="3B4457E7" w:rsidR="4EE87F97"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  <w:t>Aumento del volumen plasmático por retención de agua y sodio</w:t>
            </w:r>
          </w:p>
        </w:tc>
        <w:tc>
          <w:tcPr>
            <w:tcW w:w="3975" w:type="dxa"/>
            <w:tcMar/>
          </w:tcPr>
          <w:p w:rsidR="3B4457E7" w:rsidP="3B4457E7" w:rsidRDefault="3B4457E7" w14:noSpellErr="1" w14:paraId="0E2206F1" w14:textId="645DB176">
            <w:pPr>
              <w:pStyle w:val="Normal"/>
              <w:spacing w:line="276" w:lineRule="auto"/>
              <w:ind w:left="0"/>
              <w:jc w:val="both"/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</w:pPr>
            <w:r w:rsidRPr="3B4457E7" w:rsidR="3B4457E7"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  <w:t>Insuficiencia cardiaca</w:t>
            </w:r>
          </w:p>
        </w:tc>
      </w:tr>
      <w:tr w:rsidR="3B4457E7" w:rsidTr="3B4457E7" w14:paraId="039C5E07">
        <w:trPr>
          <w:trHeight w:val="300"/>
        </w:trPr>
        <w:tc>
          <w:tcPr>
            <w:tcW w:w="1875" w:type="dxa"/>
            <w:vMerge/>
            <w:tcMar/>
          </w:tcPr>
          <w:p w14:paraId="2048B2D1"/>
        </w:tc>
        <w:tc>
          <w:tcPr>
            <w:tcW w:w="2985" w:type="dxa"/>
            <w:vMerge/>
            <w:tcMar/>
          </w:tcPr>
          <w:p w14:paraId="18A077AC"/>
        </w:tc>
        <w:tc>
          <w:tcPr>
            <w:tcW w:w="3975" w:type="dxa"/>
            <w:tcMar/>
          </w:tcPr>
          <w:p w:rsidR="3B4457E7" w:rsidP="3B4457E7" w:rsidRDefault="3B4457E7" w14:noSpellErr="1" w14:paraId="5A8B3FC7" w14:textId="17C42942">
            <w:pPr>
              <w:pStyle w:val="Normal"/>
              <w:spacing w:line="276" w:lineRule="auto"/>
              <w:ind w:left="0"/>
              <w:jc w:val="both"/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</w:pPr>
            <w:r w:rsidRPr="3B4457E7" w:rsidR="3B4457E7"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  <w:t>Enfermedad renal primaria: glomerulonefritis aguda, insuficiencia renal (aguda/crónica), síndrome nefrótico</w:t>
            </w:r>
          </w:p>
        </w:tc>
      </w:tr>
      <w:tr w:rsidR="3B4457E7" w:rsidTr="3B4457E7" w14:paraId="1E0C776A">
        <w:trPr>
          <w:trHeight w:val="300"/>
        </w:trPr>
        <w:tc>
          <w:tcPr>
            <w:tcW w:w="1875" w:type="dxa"/>
            <w:vMerge/>
            <w:tcMar/>
          </w:tcPr>
          <w:p w14:paraId="456A7C5A"/>
        </w:tc>
        <w:tc>
          <w:tcPr>
            <w:tcW w:w="2985" w:type="dxa"/>
            <w:vMerge/>
            <w:tcMar/>
          </w:tcPr>
          <w:p w14:paraId="1AB56DFC"/>
        </w:tc>
        <w:tc>
          <w:tcPr>
            <w:tcW w:w="3975" w:type="dxa"/>
            <w:tcMar/>
          </w:tcPr>
          <w:p w:rsidR="3B4457E7" w:rsidP="3B4457E7" w:rsidRDefault="3B4457E7" w14:noSpellErr="1" w14:paraId="114C716D" w14:textId="0744A279">
            <w:pPr>
              <w:pStyle w:val="Normal"/>
              <w:spacing w:line="276" w:lineRule="auto"/>
              <w:ind w:left="0"/>
              <w:jc w:val="both"/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</w:pPr>
            <w:r w:rsidRPr="3B4457E7" w:rsidR="3B4457E7"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  <w:t>Inducido por drogas: Vasodilatadores, bloqueadores de los canales de calcio</w:t>
            </w:r>
          </w:p>
        </w:tc>
      </w:tr>
      <w:tr w:rsidR="3B4457E7" w:rsidTr="3B4457E7" w14:paraId="1F249E06">
        <w:trPr>
          <w:trHeight w:val="300"/>
        </w:trPr>
        <w:tc>
          <w:tcPr>
            <w:tcW w:w="1875" w:type="dxa"/>
            <w:vMerge w:val="restart"/>
            <w:tcMar/>
          </w:tcPr>
          <w:p w:rsidR="21D273BD" w:rsidP="3B4457E7" w:rsidRDefault="21D273BD" w14:paraId="007BD461" w14:textId="536DF197">
            <w:pPr>
              <w:spacing w:line="276" w:lineRule="auto"/>
              <w:jc w:val="both"/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</w:pPr>
            <w:r w:rsidRPr="3B4457E7" w:rsidR="21D273BD"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  <w:t xml:space="preserve">Disminución de la presión oncótica capilar </w:t>
            </w:r>
          </w:p>
        </w:tc>
        <w:tc>
          <w:tcPr>
            <w:tcW w:w="2985" w:type="dxa"/>
            <w:vMerge w:val="restart"/>
            <w:tcMar/>
          </w:tcPr>
          <w:p w:rsidR="21D273BD" w:rsidP="3B4457E7" w:rsidRDefault="21D273BD" w14:paraId="0D13F80D" w14:textId="4A364FCD">
            <w:pPr>
              <w:spacing w:line="276" w:lineRule="auto"/>
              <w:jc w:val="both"/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</w:pPr>
            <w:r w:rsidRPr="3B4457E7" w:rsidR="21D273BD"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  <w:t>Hipoalbuminemia</w:t>
            </w:r>
          </w:p>
          <w:p w:rsidR="3B4457E7" w:rsidP="3B4457E7" w:rsidRDefault="3B4457E7" w14:paraId="05A58E58" w14:textId="39A19B01">
            <w:pPr>
              <w:pStyle w:val="Normal"/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color w:val="222222"/>
                <w:sz w:val="20"/>
                <w:szCs w:val="20"/>
                <w:lang w:eastAsia="es-CL"/>
              </w:rPr>
            </w:pPr>
          </w:p>
        </w:tc>
        <w:tc>
          <w:tcPr>
            <w:tcW w:w="3975" w:type="dxa"/>
            <w:tcMar/>
          </w:tcPr>
          <w:p w:rsidR="3B4457E7" w:rsidP="3B4457E7" w:rsidRDefault="3B4457E7" w14:noSpellErr="1" w14:paraId="1E0E384C" w14:textId="3B9E2E84">
            <w:pPr>
              <w:pStyle w:val="Normal"/>
              <w:spacing w:line="276" w:lineRule="auto"/>
              <w:ind w:left="0"/>
              <w:jc w:val="both"/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</w:pPr>
            <w:r w:rsidRPr="3B4457E7" w:rsidR="3B4457E7"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  <w:t>Síndrome nefrótico</w:t>
            </w:r>
          </w:p>
        </w:tc>
      </w:tr>
      <w:tr w:rsidR="3B4457E7" w:rsidTr="3B4457E7" w14:paraId="1B9A8E36">
        <w:trPr>
          <w:trHeight w:val="300"/>
        </w:trPr>
        <w:tc>
          <w:tcPr>
            <w:tcW w:w="1875" w:type="dxa"/>
            <w:vMerge/>
            <w:tcMar/>
          </w:tcPr>
          <w:p w14:paraId="079677E2"/>
        </w:tc>
        <w:tc>
          <w:tcPr>
            <w:tcW w:w="2985" w:type="dxa"/>
            <w:vMerge/>
            <w:tcMar/>
          </w:tcPr>
          <w:p w14:paraId="10B21475"/>
        </w:tc>
        <w:tc>
          <w:tcPr>
            <w:tcW w:w="3975" w:type="dxa"/>
            <w:tcMar/>
          </w:tcPr>
          <w:p w:rsidR="3B4457E7" w:rsidP="3B4457E7" w:rsidRDefault="3B4457E7" w14:noSpellErr="1" w14:paraId="1DCA4CEA" w14:textId="28B7D285">
            <w:pPr>
              <w:pStyle w:val="Normal"/>
              <w:spacing w:line="276" w:lineRule="auto"/>
              <w:ind w:left="0"/>
              <w:jc w:val="both"/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</w:pPr>
            <w:r w:rsidRPr="3B4457E7" w:rsidR="3B4457E7"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  <w:t>Insuficiencia hepática</w:t>
            </w:r>
          </w:p>
        </w:tc>
      </w:tr>
      <w:tr w:rsidR="3B4457E7" w:rsidTr="3B4457E7" w14:paraId="0D447978">
        <w:trPr>
          <w:trHeight w:val="300"/>
        </w:trPr>
        <w:tc>
          <w:tcPr>
            <w:tcW w:w="1875" w:type="dxa"/>
            <w:vMerge/>
            <w:tcMar/>
          </w:tcPr>
          <w:p w14:paraId="099F39D4"/>
        </w:tc>
        <w:tc>
          <w:tcPr>
            <w:tcW w:w="2985" w:type="dxa"/>
            <w:vMerge/>
            <w:tcMar/>
          </w:tcPr>
          <w:p w14:paraId="7275F2A4"/>
        </w:tc>
        <w:tc>
          <w:tcPr>
            <w:tcW w:w="3975" w:type="dxa"/>
            <w:tcMar/>
          </w:tcPr>
          <w:p w:rsidR="3B4457E7" w:rsidP="3B4457E7" w:rsidRDefault="3B4457E7" w14:noSpellErr="1" w14:paraId="239BFC06" w14:textId="1726596F">
            <w:pPr>
              <w:pStyle w:val="Normal"/>
              <w:spacing w:line="276" w:lineRule="auto"/>
              <w:ind w:left="0"/>
              <w:jc w:val="both"/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</w:pPr>
            <w:r w:rsidRPr="3B4457E7" w:rsidR="3B4457E7"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  <w:t>Enteropatía perdedora de proteínas</w:t>
            </w:r>
          </w:p>
        </w:tc>
      </w:tr>
      <w:tr w:rsidR="3B4457E7" w:rsidTr="3B4457E7" w14:paraId="15E1ED9F">
        <w:trPr>
          <w:trHeight w:val="300"/>
        </w:trPr>
        <w:tc>
          <w:tcPr>
            <w:tcW w:w="1875" w:type="dxa"/>
            <w:vMerge/>
            <w:tcMar/>
          </w:tcPr>
          <w:p w14:paraId="04A2506E"/>
        </w:tc>
        <w:tc>
          <w:tcPr>
            <w:tcW w:w="2985" w:type="dxa"/>
            <w:vMerge/>
            <w:tcMar/>
          </w:tcPr>
          <w:p w14:paraId="3D317041"/>
        </w:tc>
        <w:tc>
          <w:tcPr>
            <w:tcW w:w="3975" w:type="dxa"/>
            <w:tcMar/>
          </w:tcPr>
          <w:p w:rsidR="3B4457E7" w:rsidP="3B4457E7" w:rsidRDefault="3B4457E7" w14:noSpellErr="1" w14:paraId="0B78CBC1" w14:textId="0DE0DA2F">
            <w:pPr>
              <w:pStyle w:val="Normal"/>
              <w:spacing w:line="276" w:lineRule="auto"/>
              <w:ind w:left="0"/>
              <w:jc w:val="both"/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</w:pPr>
            <w:r w:rsidRPr="3B4457E7" w:rsidR="3B4457E7"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  <w:t xml:space="preserve">Desnutrición proteica </w:t>
            </w:r>
          </w:p>
        </w:tc>
      </w:tr>
      <w:tr w:rsidR="3B4457E7" w:rsidTr="3B4457E7" w14:paraId="2A9B602F">
        <w:trPr>
          <w:trHeight w:val="300"/>
        </w:trPr>
        <w:tc>
          <w:tcPr>
            <w:tcW w:w="4860" w:type="dxa"/>
            <w:gridSpan w:val="2"/>
            <w:vMerge w:val="restart"/>
            <w:tcMar/>
          </w:tcPr>
          <w:p w:rsidR="3B4457E7" w:rsidP="3B4457E7" w:rsidRDefault="3B4457E7" w14:paraId="3ECFC37A" w14:textId="32690963">
            <w:pPr>
              <w:spacing w:line="276" w:lineRule="auto"/>
              <w:jc w:val="both"/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</w:pPr>
            <w:r w:rsidRPr="3B4457E7" w:rsidR="3B4457E7"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  <w:t>Aumento de la permeabilidad capilar</w:t>
            </w:r>
          </w:p>
        </w:tc>
        <w:tc>
          <w:tcPr>
            <w:tcW w:w="3975" w:type="dxa"/>
            <w:tcMar/>
          </w:tcPr>
          <w:p w:rsidR="3B4457E7" w:rsidP="3B4457E7" w:rsidRDefault="3B4457E7" w14:noSpellErr="1" w14:paraId="6A7C3439" w14:textId="388ECADB">
            <w:pPr>
              <w:pStyle w:val="Normal"/>
              <w:spacing w:line="276" w:lineRule="auto"/>
              <w:ind w:left="0"/>
              <w:jc w:val="both"/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</w:pPr>
            <w:r w:rsidRPr="3B4457E7" w:rsidR="3B4457E7"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  <w:t>Quemaduras</w:t>
            </w:r>
          </w:p>
        </w:tc>
      </w:tr>
      <w:tr w:rsidR="3B4457E7" w:rsidTr="3B4457E7" w14:paraId="4FAB2ED4">
        <w:trPr>
          <w:trHeight w:val="300"/>
        </w:trPr>
        <w:tc>
          <w:tcPr>
            <w:tcW w:w="4860" w:type="dxa"/>
            <w:gridSpan w:val="2"/>
            <w:vMerge/>
            <w:tcMar/>
          </w:tcPr>
          <w:p w14:paraId="393B5197"/>
        </w:tc>
        <w:tc>
          <w:tcPr>
            <w:tcW w:w="3975" w:type="dxa"/>
            <w:tcMar/>
          </w:tcPr>
          <w:p w:rsidR="3B4457E7" w:rsidP="3B4457E7" w:rsidRDefault="3B4457E7" w14:noSpellErr="1" w14:paraId="0F9C4B23" w14:textId="771C7016">
            <w:pPr>
              <w:pStyle w:val="Normal"/>
              <w:spacing w:line="276" w:lineRule="auto"/>
              <w:ind w:left="0"/>
              <w:jc w:val="both"/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</w:pPr>
            <w:r w:rsidRPr="3B4457E7" w:rsidR="3B4457E7">
              <w:rPr>
                <w:rFonts w:ascii="Calibri Light" w:hAnsi="Calibri Light" w:eastAsia="Times New Roman" w:cs="Calibri Light" w:asciiTheme="majorAscii" w:hAnsiTheme="majorAscii" w:cstheme="majorAscii"/>
                <w:color w:val="222222"/>
                <w:sz w:val="20"/>
                <w:szCs w:val="20"/>
                <w:lang w:eastAsia="es-CL"/>
              </w:rPr>
              <w:t>Sepsis</w:t>
            </w:r>
          </w:p>
        </w:tc>
      </w:tr>
    </w:tbl>
    <w:p w:rsidRPr="00B165E1" w:rsidR="00C836C5" w:rsidP="3B4457E7" w:rsidRDefault="00C94825" w14:paraId="381097CA" w14:textId="3DE25013">
      <w:pPr>
        <w:shd w:val="clear" w:color="auto" w:fill="FFFFFF" w:themeFill="background1"/>
        <w:spacing w:line="276" w:lineRule="auto"/>
        <w:jc w:val="both"/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222222"/>
          <w:sz w:val="18"/>
          <w:szCs w:val="18"/>
          <w:vertAlign w:val="superscript"/>
          <w:lang w:eastAsia="es-CL"/>
        </w:rPr>
      </w:pPr>
      <w:r w:rsidRPr="3B4457E7" w:rsidR="00C94825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222222"/>
          <w:sz w:val="18"/>
          <w:szCs w:val="18"/>
          <w:lang w:eastAsia="es-CL"/>
        </w:rPr>
        <w:t xml:space="preserve">Fuente: </w:t>
      </w:r>
      <w:r w:rsidRPr="3B4457E7" w:rsidR="00B165E1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222222"/>
          <w:sz w:val="18"/>
          <w:szCs w:val="18"/>
          <w:lang w:eastAsia="es-CL"/>
        </w:rPr>
        <w:t xml:space="preserve">Elaboración propia a partir de 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>Evaluation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 xml:space="preserve"> and 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>management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 xml:space="preserve"> 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>of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 xml:space="preserve"> edema in 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>children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 xml:space="preserve">, 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>UpToDate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 xml:space="preserve"> 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  <w:vertAlign w:val="superscript"/>
        </w:rPr>
        <w:t>(4)</w:t>
      </w:r>
    </w:p>
    <w:p w:rsidR="00B165E1" w:rsidP="00C300DC" w:rsidRDefault="00B165E1" w14:paraId="0F330EDB" w14:textId="77777777">
      <w:pPr>
        <w:shd w:val="clear" w:color="auto" w:fill="FFFFFF"/>
        <w:spacing w:line="276" w:lineRule="auto"/>
        <w:jc w:val="both"/>
        <w:rPr>
          <w:rFonts w:eastAsia="Times New Roman" w:asciiTheme="majorHAnsi" w:hAnsiTheme="majorHAnsi" w:cstheme="majorHAnsi"/>
          <w:b/>
          <w:bCs/>
          <w:color w:val="222222"/>
          <w:sz w:val="20"/>
          <w:szCs w:val="20"/>
          <w:lang w:eastAsia="es-CL"/>
        </w:rPr>
      </w:pPr>
    </w:p>
    <w:p w:rsidRPr="00C94825" w:rsidR="00C94825" w:rsidP="00C300DC" w:rsidRDefault="00C94825" w14:paraId="29FF2532" w14:textId="1D02CB04">
      <w:pPr>
        <w:shd w:val="clear" w:color="auto" w:fill="FFFFFF"/>
        <w:spacing w:line="276" w:lineRule="auto"/>
        <w:jc w:val="both"/>
        <w:rPr>
          <w:rFonts w:eastAsia="Times New Roman" w:asciiTheme="majorHAnsi" w:hAnsiTheme="majorHAnsi" w:cstheme="majorHAnsi"/>
          <w:b/>
          <w:bCs/>
          <w:color w:val="222222"/>
          <w:sz w:val="20"/>
          <w:szCs w:val="20"/>
          <w:lang w:eastAsia="es-CL"/>
        </w:rPr>
      </w:pPr>
      <w:r w:rsidRPr="00C94825">
        <w:rPr>
          <w:rFonts w:eastAsia="Times New Roman" w:asciiTheme="majorHAnsi" w:hAnsiTheme="majorHAnsi" w:cstheme="majorHAnsi"/>
          <w:b/>
          <w:bCs/>
          <w:color w:val="222222"/>
          <w:sz w:val="20"/>
          <w:szCs w:val="20"/>
          <w:lang w:eastAsia="es-CL"/>
        </w:rPr>
        <w:lastRenderedPageBreak/>
        <w:t>Tabla 2: Causas de edema localizado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BB75E1" w:rsidR="00A10BE0" w:rsidTr="00A10BE0" w14:paraId="7989D713" w14:textId="77777777">
        <w:tc>
          <w:tcPr>
            <w:tcW w:w="8828" w:type="dxa"/>
          </w:tcPr>
          <w:p w:rsidRPr="00BB75E1" w:rsidR="00A10BE0" w:rsidP="00C300DC" w:rsidRDefault="00A10BE0" w14:paraId="61EA6DF9" w14:textId="78CC1D5B">
            <w:pPr>
              <w:spacing w:line="276" w:lineRule="auto"/>
              <w:jc w:val="both"/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</w:pPr>
            <w:r w:rsidRPr="00BB75E1"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  <w:t>Edema Localizado</w:t>
            </w:r>
          </w:p>
        </w:tc>
      </w:tr>
      <w:tr w:rsidRPr="00BB75E1" w:rsidR="00A10BE0" w:rsidTr="00A10BE0" w14:paraId="627F32D4" w14:textId="77777777">
        <w:tc>
          <w:tcPr>
            <w:tcW w:w="8828" w:type="dxa"/>
          </w:tcPr>
          <w:p w:rsidRPr="00BB75E1" w:rsidR="00A10BE0" w:rsidP="00C300DC" w:rsidRDefault="00A10BE0" w14:paraId="380CEA24" w14:textId="148B4C85">
            <w:pPr>
              <w:spacing w:line="276" w:lineRule="auto"/>
              <w:jc w:val="both"/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</w:pPr>
            <w:r w:rsidRPr="00BB75E1"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  <w:t>1.1 Aumento de la presión hidrostática capilar</w:t>
            </w:r>
          </w:p>
        </w:tc>
      </w:tr>
      <w:tr w:rsidRPr="00BB75E1" w:rsidR="00A10BE0" w:rsidTr="00A10BE0" w14:paraId="294B40F1" w14:textId="77777777">
        <w:tc>
          <w:tcPr>
            <w:tcW w:w="8828" w:type="dxa"/>
          </w:tcPr>
          <w:p w:rsidRPr="00BB75E1" w:rsidR="00A10BE0" w:rsidP="00C300DC" w:rsidRDefault="00A10BE0" w14:paraId="44CDE15B" w14:textId="3B08A810">
            <w:pPr>
              <w:spacing w:line="276" w:lineRule="auto"/>
              <w:jc w:val="both"/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</w:pPr>
            <w:r w:rsidRPr="00BB75E1"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  <w:t xml:space="preserve">      1.1.a Obstrucción venosa</w:t>
            </w:r>
          </w:p>
        </w:tc>
      </w:tr>
      <w:tr w:rsidRPr="00BB75E1" w:rsidR="00A10BE0" w:rsidTr="00A10BE0" w14:paraId="7A18B22E" w14:textId="77777777">
        <w:tc>
          <w:tcPr>
            <w:tcW w:w="8828" w:type="dxa"/>
          </w:tcPr>
          <w:p w:rsidRPr="00BB75E1" w:rsidR="00A10BE0" w:rsidP="00C300DC" w:rsidRDefault="00A10BE0" w14:paraId="47073212" w14:textId="50A24AF1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</w:pPr>
            <w:r w:rsidRPr="00BB75E1"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  <w:t>Compresión intrínseca (ej. Tumor)</w:t>
            </w:r>
          </w:p>
        </w:tc>
      </w:tr>
      <w:tr w:rsidRPr="00BB75E1" w:rsidR="00A10BE0" w:rsidTr="00A10BE0" w14:paraId="49D9324E" w14:textId="77777777">
        <w:tc>
          <w:tcPr>
            <w:tcW w:w="8828" w:type="dxa"/>
          </w:tcPr>
          <w:p w:rsidRPr="00BB75E1" w:rsidR="00A10BE0" w:rsidP="00C300DC" w:rsidRDefault="00A10BE0" w14:paraId="20788028" w14:textId="0B6CF477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</w:pPr>
            <w:r w:rsidRPr="00BB75E1"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  <w:t>Trombosis venosa</w:t>
            </w:r>
          </w:p>
        </w:tc>
      </w:tr>
      <w:tr w:rsidRPr="00BB75E1" w:rsidR="00A10BE0" w:rsidTr="00A10BE0" w14:paraId="3DDFF202" w14:textId="77777777">
        <w:tc>
          <w:tcPr>
            <w:tcW w:w="8828" w:type="dxa"/>
          </w:tcPr>
          <w:p w:rsidRPr="00BB75E1" w:rsidR="00A10BE0" w:rsidP="00C300DC" w:rsidRDefault="00A10BE0" w14:paraId="2C6BC7E2" w14:textId="62BE6755">
            <w:pPr>
              <w:spacing w:line="276" w:lineRule="auto"/>
              <w:jc w:val="both"/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</w:pPr>
            <w:r w:rsidRPr="00BB75E1"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  <w:t>1.2 Aumento de la presión hidrostática intersticial</w:t>
            </w:r>
          </w:p>
        </w:tc>
      </w:tr>
      <w:tr w:rsidRPr="00BB75E1" w:rsidR="00A10BE0" w:rsidTr="00A10BE0" w14:paraId="59884DCE" w14:textId="77777777">
        <w:tc>
          <w:tcPr>
            <w:tcW w:w="8828" w:type="dxa"/>
          </w:tcPr>
          <w:p w:rsidRPr="00BB75E1" w:rsidR="00A10BE0" w:rsidP="00C300DC" w:rsidRDefault="00A10BE0" w14:paraId="53540673" w14:textId="2617F716">
            <w:pPr>
              <w:spacing w:line="276" w:lineRule="auto"/>
              <w:jc w:val="both"/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</w:pPr>
            <w:r w:rsidRPr="00BB75E1"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  <w:t xml:space="preserve">      1.2.a Obstrucción linfática:</w:t>
            </w:r>
          </w:p>
        </w:tc>
      </w:tr>
      <w:tr w:rsidRPr="00BB75E1" w:rsidR="00A10BE0" w:rsidTr="00A10BE0" w14:paraId="5A078B0F" w14:textId="77777777">
        <w:tc>
          <w:tcPr>
            <w:tcW w:w="8828" w:type="dxa"/>
          </w:tcPr>
          <w:p w:rsidRPr="00BB75E1" w:rsidR="00A10BE0" w:rsidP="00C300DC" w:rsidRDefault="00A10BE0" w14:paraId="5D1DC47B" w14:textId="5069C277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</w:pPr>
            <w:r w:rsidRPr="00BB75E1"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  <w:t xml:space="preserve">Primaria: Síndrome de Turner, Síndrome de </w:t>
            </w:r>
            <w:proofErr w:type="spellStart"/>
            <w:r w:rsidRPr="00BB75E1"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  <w:t>Noonan</w:t>
            </w:r>
            <w:proofErr w:type="spellEnd"/>
            <w:r w:rsidRPr="00BB75E1"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  <w:t>, linfedema precoz</w:t>
            </w:r>
          </w:p>
        </w:tc>
      </w:tr>
      <w:tr w:rsidRPr="00BB75E1" w:rsidR="00A10BE0" w:rsidTr="00A10BE0" w14:paraId="6239FEC0" w14:textId="77777777">
        <w:tc>
          <w:tcPr>
            <w:tcW w:w="8828" w:type="dxa"/>
          </w:tcPr>
          <w:p w:rsidRPr="00BB75E1" w:rsidR="00A10BE0" w:rsidP="00C300DC" w:rsidRDefault="00A10BE0" w14:paraId="778C738E" w14:textId="4985610A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</w:pPr>
            <w:r w:rsidRPr="00BB75E1"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  <w:t>Secundaria: Linfadenitis, Enfermedades autoinmunes (</w:t>
            </w:r>
            <w:proofErr w:type="spellStart"/>
            <w:r w:rsidRPr="00BB75E1"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  <w:t>Ej</w:t>
            </w:r>
            <w:proofErr w:type="spellEnd"/>
            <w:r w:rsidRPr="00BB75E1"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  <w:t xml:space="preserve">, Artritis idiopática juvenil) </w:t>
            </w:r>
          </w:p>
        </w:tc>
      </w:tr>
      <w:tr w:rsidRPr="00BB75E1" w:rsidR="00A10BE0" w:rsidTr="00A10BE0" w14:paraId="71D6B40B" w14:textId="77777777">
        <w:tc>
          <w:tcPr>
            <w:tcW w:w="8828" w:type="dxa"/>
          </w:tcPr>
          <w:p w:rsidRPr="00BB75E1" w:rsidR="00A10BE0" w:rsidP="00C300DC" w:rsidRDefault="00A10BE0" w14:paraId="1E31A6BF" w14:textId="3FB9381E">
            <w:pPr>
              <w:spacing w:line="276" w:lineRule="auto"/>
              <w:jc w:val="both"/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</w:pPr>
            <w:r w:rsidRPr="00BB75E1"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  <w:t>1.3 Aumento de la permeabilidad capilar</w:t>
            </w:r>
          </w:p>
        </w:tc>
      </w:tr>
      <w:tr w:rsidRPr="00BB75E1" w:rsidR="00A10BE0" w:rsidTr="00A10BE0" w14:paraId="7B87FB90" w14:textId="77777777">
        <w:tc>
          <w:tcPr>
            <w:tcW w:w="8828" w:type="dxa"/>
          </w:tcPr>
          <w:p w:rsidRPr="00BB75E1" w:rsidR="00A10BE0" w:rsidP="00C300DC" w:rsidRDefault="00A10BE0" w14:paraId="4868E78E" w14:textId="097A9CB0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</w:pPr>
            <w:r w:rsidRPr="00BB75E1"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  <w:t>Reacción alérgica/Angioedema</w:t>
            </w:r>
          </w:p>
        </w:tc>
      </w:tr>
      <w:tr w:rsidRPr="00BB75E1" w:rsidR="00A10BE0" w:rsidTr="00A10BE0" w14:paraId="001D42ED" w14:textId="77777777">
        <w:tc>
          <w:tcPr>
            <w:tcW w:w="8828" w:type="dxa"/>
          </w:tcPr>
          <w:p w:rsidRPr="00BB75E1" w:rsidR="00A10BE0" w:rsidP="00C300DC" w:rsidRDefault="00A10BE0" w14:paraId="22AA737D" w14:textId="27AEF46A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</w:pPr>
            <w:r w:rsidRPr="00BB75E1">
              <w:rPr>
                <w:rFonts w:eastAsia="Times New Roman" w:asciiTheme="majorHAnsi" w:hAnsiTheme="majorHAnsi" w:cstheme="majorHAnsi"/>
                <w:color w:val="222222"/>
                <w:sz w:val="20"/>
                <w:szCs w:val="20"/>
                <w:lang w:eastAsia="es-CL"/>
              </w:rPr>
              <w:t>Traumatismo</w:t>
            </w:r>
          </w:p>
        </w:tc>
      </w:tr>
    </w:tbl>
    <w:p w:rsidRPr="00B165E1" w:rsidR="00B165E1" w:rsidP="3B4457E7" w:rsidRDefault="00B165E1" w14:paraId="417E1545" w14:textId="77777777">
      <w:pPr>
        <w:shd w:val="clear" w:color="auto" w:fill="FFFFFF" w:themeFill="background1"/>
        <w:spacing w:line="276" w:lineRule="auto"/>
        <w:jc w:val="both"/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222222"/>
          <w:sz w:val="18"/>
          <w:szCs w:val="18"/>
          <w:vertAlign w:val="superscript"/>
          <w:lang w:eastAsia="es-CL"/>
        </w:rPr>
      </w:pPr>
      <w:r w:rsidRPr="3B4457E7" w:rsidR="00B165E1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222222"/>
          <w:sz w:val="18"/>
          <w:szCs w:val="18"/>
          <w:lang w:eastAsia="es-CL"/>
        </w:rPr>
        <w:t xml:space="preserve">Fuente: Elaboración propia a partir de 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>Evaluation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 xml:space="preserve"> and 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>management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 xml:space="preserve"> 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>of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 xml:space="preserve"> edema in 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>children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 xml:space="preserve">, 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>UpToDate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</w:rPr>
        <w:t xml:space="preserve"> </w:t>
      </w:r>
      <w:r w:rsidRPr="3B4457E7" w:rsidR="00B165E1">
        <w:rPr>
          <w:rFonts w:ascii="Calibri Light" w:hAnsi="Calibri Light" w:cs="Calibri Light" w:asciiTheme="majorAscii" w:hAnsiTheme="majorAscii" w:cstheme="majorAscii"/>
          <w:i w:val="1"/>
          <w:iCs w:val="1"/>
          <w:sz w:val="18"/>
          <w:szCs w:val="18"/>
          <w:vertAlign w:val="superscript"/>
        </w:rPr>
        <w:t>(4)</w:t>
      </w:r>
    </w:p>
    <w:p w:rsidR="00EE27F8" w:rsidP="00E075F2" w:rsidRDefault="00EE27F8" w14:paraId="5AC2839E" w14:textId="61C28172">
      <w:pPr>
        <w:shd w:val="clear" w:color="auto" w:fill="FFFFFF"/>
        <w:spacing w:line="276" w:lineRule="auto"/>
        <w:jc w:val="both"/>
        <w:rPr>
          <w:rFonts w:eastAsia="Times New Roman" w:asciiTheme="majorHAnsi" w:hAnsiTheme="majorHAnsi" w:cstheme="majorHAnsi"/>
          <w:b/>
          <w:bCs/>
          <w:color w:val="222222"/>
          <w:sz w:val="20"/>
          <w:szCs w:val="20"/>
          <w:lang w:eastAsia="es-CL"/>
        </w:rPr>
      </w:pPr>
      <w:r w:rsidRPr="00C23947">
        <w:rPr>
          <w:rFonts w:eastAsia="Times New Roman" w:asciiTheme="majorHAnsi" w:hAnsiTheme="majorHAnsi" w:cstheme="majorHAnsi"/>
          <w:b/>
          <w:bCs/>
          <w:color w:val="222222"/>
          <w:sz w:val="20"/>
          <w:szCs w:val="20"/>
          <w:lang w:eastAsia="es-CL"/>
        </w:rPr>
        <w:t>E</w:t>
      </w:r>
      <w:r w:rsidRPr="00C23947" w:rsidR="00C23947">
        <w:rPr>
          <w:rFonts w:eastAsia="Times New Roman" w:asciiTheme="majorHAnsi" w:hAnsiTheme="majorHAnsi" w:cstheme="majorHAnsi"/>
          <w:b/>
          <w:bCs/>
          <w:color w:val="222222"/>
          <w:sz w:val="20"/>
          <w:szCs w:val="20"/>
          <w:lang w:eastAsia="es-CL"/>
        </w:rPr>
        <w:t>NFRENTAMIENTO</w:t>
      </w:r>
    </w:p>
    <w:p w:rsidR="00A25308" w:rsidP="3B4457E7" w:rsidRDefault="00A25308" w14:paraId="74ACA3C2" w14:textId="00A9FE29">
      <w:pPr>
        <w:pStyle w:val="Normal"/>
        <w:suppressLineNumbers w:val="0"/>
        <w:shd w:val="clear" w:color="auto" w:fill="FFFFFF" w:themeFill="background1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</w:pPr>
      <w:r w:rsidRPr="3B4457E7" w:rsidR="00A25308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Una historia clínica y examen físico acucioso son fundamentales para definir la causa del edema</w:t>
      </w:r>
      <w:r w:rsidRPr="3B4457E7" w:rsidR="00E52823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, su</w:t>
      </w:r>
      <w:r w:rsidRPr="3B4457E7" w:rsidR="00A25308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 evaluación y tratamiento.</w:t>
      </w:r>
      <w:r w:rsidRPr="3B4457E7" w:rsidR="4B587271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 </w:t>
      </w:r>
      <w:r w:rsidRPr="3B4457E7" w:rsidR="4B587271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L</w:t>
      </w:r>
      <w:r w:rsidRPr="3B4457E7" w:rsidR="00C0658D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a </w:t>
      </w:r>
      <w:r w:rsidRPr="3B4457E7" w:rsidR="3FE8F519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tabla 3 resume los </w:t>
      </w:r>
      <w:r w:rsidRPr="3B4457E7" w:rsidR="6295A12F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aspectos</w:t>
      </w:r>
      <w:r w:rsidRPr="3B4457E7" w:rsidR="3FE8F519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 a considerar en la </w:t>
      </w:r>
      <w:r w:rsidRPr="3B4457E7" w:rsidR="00C0658D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anamnesis </w:t>
      </w:r>
      <w:r w:rsidRPr="3B4457E7" w:rsidR="7E50A254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  <w:t>y en el examen físico de un niño con un edema</w:t>
      </w:r>
      <w:r w:rsidRPr="3B4457E7" w:rsidR="262DC01A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  <w:t>.</w:t>
      </w:r>
    </w:p>
    <w:p w:rsidR="00A25308" w:rsidP="3B4457E7" w:rsidRDefault="00A25308" w14:paraId="5D26BB8F" w14:textId="14257A6A">
      <w:pPr>
        <w:pStyle w:val="Normal"/>
        <w:suppressLineNumbers w:val="0"/>
        <w:shd w:val="clear" w:color="auto" w:fill="FFFFFF" w:themeFill="background1"/>
        <w:bidi w:val="0"/>
        <w:spacing w:before="0" w:beforeAutospacing="off" w:after="160" w:afterAutospacing="off" w:line="276" w:lineRule="auto"/>
        <w:ind w:left="0" w:right="0"/>
        <w:jc w:val="both"/>
      </w:pPr>
      <w:r w:rsidRPr="3B4457E7" w:rsidR="497D1E4C">
        <w:rPr>
          <w:rFonts w:ascii="Calibri Light" w:hAnsi="Calibri Light" w:cs="Calibri Light" w:asciiTheme="majorAscii" w:hAnsiTheme="majorAscii" w:cstheme="majorAscii"/>
          <w:b w:val="1"/>
          <w:bCs w:val="1"/>
          <w:color w:val="222222"/>
          <w:sz w:val="20"/>
          <w:szCs w:val="20"/>
        </w:rPr>
        <w:t>ANAMNESIS</w:t>
      </w:r>
    </w:p>
    <w:p w:rsidR="00A25308" w:rsidP="3B4457E7" w:rsidRDefault="00A25308" w14:textId="77777777" w14:paraId="7E75A0DE">
      <w:pPr>
        <w:pStyle w:val="Prrafodelista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</w:pPr>
      <w:r w:rsidRPr="3B4457E7" w:rsidR="00A25308">
        <w:rPr>
          <w:rFonts w:ascii="Calibri Light" w:hAnsi="Calibri Light" w:cs="Calibri Light" w:asciiTheme="majorAscii" w:hAnsiTheme="majorAscii" w:cstheme="majorAscii"/>
          <w:b w:val="1"/>
          <w:bCs w:val="1"/>
          <w:color w:val="222222"/>
          <w:sz w:val="20"/>
          <w:szCs w:val="20"/>
          <w:shd w:val="clear" w:color="auto" w:fill="FFFFFF"/>
        </w:rPr>
        <w:t>Características del edema:</w:t>
      </w:r>
    </w:p>
    <w:p w:rsidR="00A25308" w:rsidP="3B4457E7" w:rsidRDefault="00A25308" w14:textId="77777777" w14:paraId="1BBA57A5">
      <w:pPr>
        <w:pStyle w:val="Prrafodelista"/>
        <w:numPr>
          <w:ilvl w:val="1"/>
          <w:numId w:val="6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</w:pPr>
      <w:r w:rsidRPr="3B4457E7" w:rsidR="00A25308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Localización: Esto permitirá clasificarlo en generalizado o localizado. Siempre evaluar si hay edema palpebral, que es frecuente como primera manifestación de edema generalizado</w:t>
      </w:r>
    </w:p>
    <w:p w:rsidR="00A25308" w:rsidP="3B4457E7" w:rsidRDefault="00A25308" w14:textId="77777777" w14:paraId="4FE2BB8A">
      <w:pPr>
        <w:pStyle w:val="Prrafodelista"/>
        <w:numPr>
          <w:ilvl w:val="1"/>
          <w:numId w:val="6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</w:pPr>
      <w:r w:rsidRPr="3B4457E7" w:rsidR="00A25308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Tiempo</w:t>
      </w:r>
      <w:r w:rsidRPr="3B4457E7" w:rsidR="00A25308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 </w:t>
      </w:r>
      <w:r w:rsidRPr="3B4457E7" w:rsidR="00A25308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de evolución</w:t>
      </w:r>
    </w:p>
    <w:p w:rsidR="00A25308" w:rsidP="3B4457E7" w:rsidRDefault="00A25308" w14:textId="77777777" w14:paraId="1E485124">
      <w:pPr>
        <w:pStyle w:val="Prrafodelista"/>
        <w:numPr>
          <w:ilvl w:val="1"/>
          <w:numId w:val="6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</w:pPr>
      <w:r w:rsidRPr="3B4457E7" w:rsidR="00A25308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Variabilidad durante el día: El edema palpebral tiende a ser más notorio durante la mañana por la posición de </w:t>
      </w:r>
      <w:r w:rsidRPr="3B4457E7" w:rsidR="00A25308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decúbito</w:t>
      </w:r>
      <w:r w:rsidRPr="3B4457E7" w:rsidR="00A25308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 al dormir, disminuyendo a lo largo del día. </w:t>
      </w:r>
      <w:r w:rsidRPr="3B4457E7" w:rsidR="00A25308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Por otro lado, el edema de extremidades inferiores es más frecuente durante la tarde por la deambulación</w:t>
      </w:r>
    </w:p>
    <w:p w:rsidR="3B4457E7" w:rsidP="3B4457E7" w:rsidRDefault="3B4457E7" w14:paraId="0396F7EB" w14:textId="642B7022">
      <w:pPr>
        <w:pStyle w:val="Prrafodelista"/>
        <w:shd w:val="clear" w:color="auto" w:fill="FFFFFF" w:themeFill="background1"/>
        <w:spacing w:line="276" w:lineRule="auto"/>
        <w:ind w:left="1080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</w:pPr>
    </w:p>
    <w:p w:rsidR="00A25308" w:rsidP="3B4457E7" w:rsidRDefault="00A25308" w14:paraId="6657CC1B" w14:textId="47FD37F1">
      <w:pPr>
        <w:pStyle w:val="Prrafodelista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</w:pPr>
      <w:r w:rsidRPr="3B4457E7" w:rsidR="00A25308">
        <w:rPr>
          <w:rFonts w:ascii="Calibri Light" w:hAnsi="Calibri Light" w:cs="Calibri Light" w:asciiTheme="majorAscii" w:hAnsiTheme="majorAscii" w:cstheme="majorAscii"/>
          <w:b w:val="1"/>
          <w:bCs w:val="1"/>
          <w:color w:val="222222"/>
          <w:sz w:val="20"/>
          <w:szCs w:val="20"/>
          <w:shd w:val="clear" w:color="auto" w:fill="FFFFFF"/>
        </w:rPr>
        <w:t>Relación temporal con exposición a alérgenos</w:t>
      </w:r>
      <w:r w:rsidRPr="3B4457E7" w:rsidR="00A25308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, principalmente si sospechamos casos de angioedema</w:t>
      </w:r>
      <w:r w:rsidRPr="3B4457E7" w:rsidR="00738071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.</w:t>
      </w:r>
    </w:p>
    <w:p w:rsidR="3B4457E7" w:rsidP="3B4457E7" w:rsidRDefault="3B4457E7" w14:paraId="1FAF0328" w14:textId="74AD2D73">
      <w:pPr>
        <w:pStyle w:val="Prrafodelista"/>
        <w:shd w:val="clear" w:color="auto" w:fill="FFFFFF" w:themeFill="background1"/>
        <w:spacing w:line="276" w:lineRule="auto"/>
        <w:ind w:left="360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</w:pPr>
    </w:p>
    <w:p w:rsidR="0042044C" w:rsidP="3B4457E7" w:rsidRDefault="00A25308" w14:paraId="713B7BCA" w14:textId="15A820C5">
      <w:pPr>
        <w:pStyle w:val="Prrafodelista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3B4457E7" w:rsidR="00A25308">
        <w:rPr>
          <w:rFonts w:ascii="Calibri Light" w:hAnsi="Calibri Light" w:cs="Calibri Light" w:asciiTheme="majorAscii" w:hAnsiTheme="majorAscii" w:cstheme="majorAscii"/>
          <w:b w:val="1"/>
          <w:bCs w:val="1"/>
          <w:color w:val="222222"/>
          <w:sz w:val="20"/>
          <w:szCs w:val="20"/>
          <w:shd w:val="clear" w:color="auto" w:fill="FFFFFF"/>
        </w:rPr>
        <w:t xml:space="preserve">Antecedente de cuadros infecciosos previos: </w:t>
      </w:r>
      <w:r w:rsidRPr="3B4457E7" w:rsidR="00A25308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Esto es importante </w:t>
      </w:r>
      <w:r w:rsidRPr="3B4457E7" w:rsidR="0042044C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en los casos de edema generalizado, especialmente en las glomerulonefritis post </w:t>
      </w:r>
      <w:r w:rsidRPr="3B4457E7" w:rsidR="0042044C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estreptocócicas (</w:t>
      </w:r>
      <w:r w:rsidRPr="3B4457E7" w:rsidR="0042044C">
        <w:rPr>
          <w:rFonts w:ascii="Calibri Light" w:hAnsi="Calibri Light" w:cs="Calibri Light" w:asciiTheme="majorAscii" w:hAnsiTheme="majorAscii" w:cstheme="majorAscii"/>
          <w:sz w:val="20"/>
          <w:szCs w:val="20"/>
        </w:rPr>
        <w:t>estreptococo betahemolítico del grupo A</w:t>
      </w:r>
      <w:r w:rsidRPr="3B4457E7" w:rsidR="0042044C">
        <w:rPr>
          <w:rFonts w:ascii="Calibri Light" w:hAnsi="Calibri Light" w:cs="Calibri Light" w:asciiTheme="majorAscii" w:hAnsiTheme="majorAscii" w:cstheme="majorAscii"/>
          <w:sz w:val="20"/>
          <w:szCs w:val="20"/>
        </w:rPr>
        <w:t>)</w:t>
      </w:r>
      <w:r w:rsidRPr="3B4457E7" w:rsidR="0042044C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, </w:t>
      </w:r>
      <w:r w:rsidRPr="3B4457E7" w:rsidR="0042044C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donde existe el antecedente de amigdalitis aguda o impétigo</w:t>
      </w:r>
      <w:r w:rsidRPr="3B4457E7" w:rsidR="00E075F2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. Existe</w:t>
      </w:r>
      <w:r w:rsidRPr="3B4457E7" w:rsidR="0042044C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 un periodo de latencia entre la infección y la nefriti</w:t>
      </w:r>
      <w:r w:rsidRPr="3B4457E7" w:rsidR="0042044C">
        <w:rPr>
          <w:rFonts w:ascii="Calibri Light" w:hAnsi="Calibri Light" w:cs="Calibri Light" w:asciiTheme="majorAscii" w:hAnsiTheme="majorAscii" w:cstheme="majorAscii"/>
          <w:sz w:val="20"/>
          <w:szCs w:val="20"/>
        </w:rPr>
        <w:t>s de</w:t>
      </w:r>
      <w:r w:rsidRPr="3B4457E7" w:rsidR="0042044C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 1-3 semanas tras una infección faríngea y 3-6 semanas tras una infección cutánea</w:t>
      </w:r>
      <w:r w:rsidRPr="3B4457E7" w:rsidR="0042044C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. </w:t>
      </w:r>
    </w:p>
    <w:p w:rsidR="3B4457E7" w:rsidP="3B4457E7" w:rsidRDefault="3B4457E7" w14:paraId="17619B09" w14:textId="7D209808">
      <w:pPr>
        <w:pStyle w:val="Prrafodelista"/>
        <w:shd w:val="clear" w:color="auto" w:fill="FFFFFF" w:themeFill="background1"/>
        <w:spacing w:line="276" w:lineRule="auto"/>
        <w:ind w:left="360"/>
        <w:jc w:val="both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</w:p>
    <w:p w:rsidR="0042044C" w:rsidP="3B4457E7" w:rsidRDefault="00C0658D" w14:paraId="1CC2E85A" w14:textId="7CD1D92F">
      <w:pPr>
        <w:pStyle w:val="Prrafodelista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</w:pPr>
      <w:r w:rsidRPr="3B4457E7" w:rsidR="00C0658D">
        <w:rPr>
          <w:rFonts w:ascii="Calibri Light" w:hAnsi="Calibri Light" w:cs="Calibri Light" w:asciiTheme="majorAscii" w:hAnsiTheme="majorAscii" w:cstheme="majorAscii"/>
          <w:b w:val="1"/>
          <w:bCs w:val="1"/>
          <w:color w:val="222222"/>
          <w:sz w:val="20"/>
          <w:szCs w:val="20"/>
          <w:shd w:val="clear" w:color="auto" w:fill="FFFFFF"/>
        </w:rPr>
        <w:t>Síntomas específicos:</w:t>
      </w:r>
      <w:r w:rsidRPr="3B4457E7" w:rsidR="00C0658D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 No olvidar preguntar por presencia de orina espumosa, hematuria y débito urinario (</w:t>
      </w:r>
      <w:r w:rsidRPr="3B4457E7" w:rsidR="00C0658D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oligoanuria</w:t>
      </w:r>
      <w:r w:rsidRPr="3B4457E7" w:rsidR="00C0658D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 o anuria)</w:t>
      </w:r>
    </w:p>
    <w:p w:rsidR="3B4457E7" w:rsidP="3B4457E7" w:rsidRDefault="3B4457E7" w14:paraId="76019C5D" w14:textId="0D374752">
      <w:pPr>
        <w:pStyle w:val="Prrafodelista"/>
        <w:shd w:val="clear" w:color="auto" w:fill="FFFFFF" w:themeFill="background1"/>
        <w:spacing w:line="276" w:lineRule="auto"/>
        <w:ind w:left="360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</w:pPr>
    </w:p>
    <w:p w:rsidR="00C0658D" w:rsidP="3B4457E7" w:rsidRDefault="00C0658D" w14:paraId="52251824" w14:textId="1AD30811">
      <w:pPr>
        <w:pStyle w:val="Prrafodelista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</w:pPr>
      <w:r w:rsidRPr="3B4457E7" w:rsidR="00C0658D">
        <w:rPr>
          <w:rFonts w:ascii="Calibri Light" w:hAnsi="Calibri Light" w:cs="Calibri Light" w:asciiTheme="majorAscii" w:hAnsiTheme="majorAscii" w:cstheme="majorAscii"/>
          <w:b w:val="1"/>
          <w:bCs w:val="1"/>
          <w:color w:val="222222"/>
          <w:sz w:val="20"/>
          <w:szCs w:val="20"/>
          <w:shd w:val="clear" w:color="auto" w:fill="FFFFFF"/>
        </w:rPr>
        <w:t xml:space="preserve">Antecedentes personales: </w:t>
      </w:r>
      <w:r w:rsidRPr="3B4457E7" w:rsidR="00C0658D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Cuadros previos de edema, enfermedades renales o cardiacas, historia de alergias</w:t>
      </w:r>
      <w:r w:rsidRPr="3B4457E7" w:rsidR="663C98C1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.</w:t>
      </w:r>
    </w:p>
    <w:p w:rsidR="3B4457E7" w:rsidP="3B4457E7" w:rsidRDefault="3B4457E7" w14:paraId="0A99A940" w14:textId="377AC323">
      <w:pPr>
        <w:pStyle w:val="Prrafodelista"/>
        <w:shd w:val="clear" w:color="auto" w:fill="FFFFFF" w:themeFill="background1"/>
        <w:spacing w:line="276" w:lineRule="auto"/>
        <w:ind w:left="360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</w:pPr>
    </w:p>
    <w:p w:rsidR="00C0658D" w:rsidP="3B4457E7" w:rsidRDefault="00C0658D" w14:paraId="227BE947" w14:textId="6055ACAD" w14:noSpellErr="1">
      <w:pPr>
        <w:pStyle w:val="Prrafodelista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</w:pPr>
      <w:r w:rsidRPr="3B4457E7" w:rsidR="00C0658D">
        <w:rPr>
          <w:rFonts w:ascii="Calibri Light" w:hAnsi="Calibri Light" w:cs="Calibri Light" w:asciiTheme="majorAscii" w:hAnsiTheme="majorAscii" w:cstheme="majorAscii"/>
          <w:b w:val="1"/>
          <w:bCs w:val="1"/>
          <w:color w:val="222222"/>
          <w:sz w:val="20"/>
          <w:szCs w:val="20"/>
          <w:shd w:val="clear" w:color="auto" w:fill="FFFFFF"/>
        </w:rPr>
        <w:t>6. Antecedentes familiares:</w:t>
      </w:r>
      <w:r w:rsidRPr="3B4457E7" w:rsidR="00C0658D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 Enfermedades cardiacas, renales, hepáticas, angioedema</w:t>
      </w:r>
    </w:p>
    <w:p w:rsidR="3B4457E7" w:rsidP="3B4457E7" w:rsidRDefault="3B4457E7" w14:paraId="30E380E6" w14:textId="56CC9153">
      <w:p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</w:pPr>
    </w:p>
    <w:p w:rsidR="5520D52A" w:rsidP="3B4457E7" w:rsidRDefault="5520D52A" w14:paraId="480D6E6C" w14:textId="1984CE3B">
      <w:p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b w:val="1"/>
          <w:bCs w:val="1"/>
          <w:color w:val="222222"/>
          <w:sz w:val="20"/>
          <w:szCs w:val="20"/>
        </w:rPr>
      </w:pPr>
      <w:r w:rsidRPr="3B4457E7" w:rsidR="5520D52A">
        <w:rPr>
          <w:rFonts w:ascii="Calibri Light" w:hAnsi="Calibri Light" w:cs="Calibri Light" w:asciiTheme="majorAscii" w:hAnsiTheme="majorAscii" w:cstheme="majorAscii"/>
          <w:b w:val="1"/>
          <w:bCs w:val="1"/>
          <w:color w:val="222222"/>
          <w:sz w:val="20"/>
          <w:szCs w:val="20"/>
        </w:rPr>
        <w:t>EXAMEN FÍSICO</w:t>
      </w:r>
    </w:p>
    <w:p w:rsidR="00E52823" w:rsidP="3B4457E7" w:rsidRDefault="00C0658D" w14:paraId="14B4BBEF" w14:textId="50470714">
      <w:p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</w:pPr>
      <w:r w:rsidRPr="3B4457E7" w:rsidR="5520D52A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P</w:t>
      </w:r>
      <w:r w:rsidRPr="3B4457E7" w:rsidR="00C0658D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ermitirá c</w:t>
      </w:r>
      <w:r w:rsidRPr="3B4457E7" w:rsidR="00E52823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onfirmar la clasificación de la extensión del edema y pesquisar eventuales complicaciones. </w:t>
      </w:r>
      <w:r w:rsidRPr="3B4457E7" w:rsidR="00297334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Debe ser detallado, con énfasis en los siguientes puntos:</w:t>
      </w:r>
    </w:p>
    <w:p w:rsidR="00E52823" w:rsidP="3B4457E7" w:rsidRDefault="00E52823" w14:paraId="0A8E35D0" w14:textId="0380FBD0">
      <w:pPr>
        <w:pStyle w:val="Prrafodelista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</w:pPr>
      <w:r w:rsidRPr="3B4457E7" w:rsidR="00E52823">
        <w:rPr>
          <w:rFonts w:ascii="Calibri Light" w:hAnsi="Calibri Light" w:cs="Calibri Light" w:asciiTheme="majorAscii" w:hAnsiTheme="majorAscii" w:cstheme="majorAscii"/>
          <w:b w:val="1"/>
          <w:bCs w:val="1"/>
          <w:color w:val="222222"/>
          <w:sz w:val="20"/>
          <w:szCs w:val="20"/>
          <w:shd w:val="clear" w:color="auto" w:fill="FFFFFF"/>
        </w:rPr>
        <w:t xml:space="preserve">Signos vitales: </w:t>
      </w:r>
      <w:r w:rsidRPr="3B4457E7" w:rsidR="00E52823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Evaluar</w:t>
      </w:r>
      <w:r w:rsidRPr="3B4457E7" w:rsidR="47246068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:</w:t>
      </w:r>
    </w:p>
    <w:p w:rsidR="00E52823" w:rsidP="3B4457E7" w:rsidRDefault="00E52823" w14:paraId="75B1EE66" w14:textId="5BEF1565">
      <w:pPr>
        <w:pStyle w:val="Prrafodelista"/>
        <w:numPr>
          <w:ilvl w:val="1"/>
          <w:numId w:val="7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</w:pPr>
      <w:r w:rsidRPr="3B4457E7" w:rsidR="47246068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p</w:t>
      </w:r>
      <w:r w:rsidRPr="3B4457E7" w:rsidR="00E52823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resencia de fiebre por posible origen infeccioso, </w:t>
      </w:r>
    </w:p>
    <w:p w:rsidR="00E52823" w:rsidP="3B4457E7" w:rsidRDefault="00E52823" w14:paraId="66E7349B" w14:textId="6F215C0F">
      <w:pPr>
        <w:pStyle w:val="Prrafodelista"/>
        <w:numPr>
          <w:ilvl w:val="1"/>
          <w:numId w:val="7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</w:pPr>
      <w:r w:rsidRPr="3B4457E7" w:rsidR="00E52823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frecuencia cardiaca y respiratoria por patología cardiaca o complicaciones respiratorias, </w:t>
      </w:r>
    </w:p>
    <w:p w:rsidR="00E52823" w:rsidP="3B4457E7" w:rsidRDefault="00E52823" w14:paraId="52B69DC0" w14:textId="0E6245AE">
      <w:pPr>
        <w:pStyle w:val="Prrafodelista"/>
        <w:numPr>
          <w:ilvl w:val="1"/>
          <w:numId w:val="7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</w:pPr>
      <w:r w:rsidRPr="3B4457E7" w:rsidR="00E52823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presión arterial</w:t>
      </w:r>
      <w:r w:rsidRPr="3B4457E7" w:rsidR="54FB1751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lastRenderedPageBreak/>
        <w:t xml:space="preserve">: recordar que </w:t>
      </w:r>
      <w:r w:rsidRPr="3B4457E7" w:rsidR="00E52823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glomerulonefritis post infecciosa cursa con la triada de hipertensión arterial, hematuria y edema</w:t>
      </w:r>
      <w:r w:rsidRPr="3B4457E7" w:rsidR="00E075F2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.</w:t>
      </w:r>
    </w:p>
    <w:p w:rsidR="3B4457E7" w:rsidP="3B4457E7" w:rsidRDefault="3B4457E7" w14:paraId="0A4ACA1B" w14:textId="27DD4003">
      <w:pPr>
        <w:pStyle w:val="Prrafodelista"/>
        <w:shd w:val="clear" w:color="auto" w:fill="FFFFFF" w:themeFill="background1"/>
        <w:spacing w:line="276" w:lineRule="auto"/>
        <w:ind w:left="1440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</w:pPr>
    </w:p>
    <w:p w:rsidR="00E52823" w:rsidP="3B4457E7" w:rsidRDefault="00E52823" w14:paraId="35D6C95B" w14:textId="0BB1ADDF">
      <w:pPr>
        <w:pStyle w:val="Prrafodelista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</w:pPr>
      <w:r w:rsidRPr="3B4457E7" w:rsidR="00E52823">
        <w:rPr>
          <w:rFonts w:ascii="Calibri Light" w:hAnsi="Calibri Light" w:cs="Calibri Light" w:asciiTheme="majorAscii" w:hAnsiTheme="majorAscii" w:cstheme="majorAscii"/>
          <w:b w:val="1"/>
          <w:bCs w:val="1"/>
          <w:color w:val="222222"/>
          <w:sz w:val="20"/>
          <w:szCs w:val="20"/>
          <w:shd w:val="clear" w:color="auto" w:fill="FFFFFF"/>
        </w:rPr>
        <w:t xml:space="preserve">Piel y mucosas: </w:t>
      </w:r>
      <w:r w:rsidRPr="3B4457E7" w:rsidR="00E52823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Buscar </w:t>
      </w:r>
      <w:r w:rsidRPr="3B4457E7" w:rsidR="00E52823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dirigidamente</w:t>
      </w:r>
      <w:r w:rsidRPr="3B4457E7" w:rsidR="00E52823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 lesiones que puedan ser puerta de entrada de infecciones (</w:t>
      </w:r>
      <w:r w:rsidRPr="3B4457E7" w:rsidR="00E52823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ej</w:t>
      </w:r>
      <w:r w:rsidRPr="3B4457E7" w:rsidR="00E52823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 en celulitis </w:t>
      </w:r>
      <w:r w:rsidRPr="3B4457E7" w:rsidR="00E52823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periorbitaria</w:t>
      </w:r>
      <w:r w:rsidRPr="3B4457E7" w:rsidR="00E52823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), picaduras de insectos, edema palpebral o de labios, signos inflamatorios locales. </w:t>
      </w:r>
    </w:p>
    <w:p w:rsidR="3B4457E7" w:rsidP="3B4457E7" w:rsidRDefault="3B4457E7" w14:paraId="5A7B9B96" w14:textId="3E4DCE6C">
      <w:pPr>
        <w:pStyle w:val="Prrafodelista"/>
        <w:shd w:val="clear" w:color="auto" w:fill="FFFFFF" w:themeFill="background1"/>
        <w:spacing w:line="276" w:lineRule="auto"/>
        <w:ind w:left="720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</w:pPr>
    </w:p>
    <w:p w:rsidR="00297334" w:rsidP="3B4457E7" w:rsidRDefault="00297334" w14:paraId="72AF7268" w14:textId="1EF5C9C4">
      <w:pPr>
        <w:pStyle w:val="Prrafodelista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</w:pPr>
      <w:r w:rsidRPr="3B4457E7" w:rsidR="00297334">
        <w:rPr>
          <w:rFonts w:ascii="Calibri Light" w:hAnsi="Calibri Light" w:cs="Calibri Light" w:asciiTheme="majorAscii" w:hAnsiTheme="majorAscii" w:cstheme="majorAscii"/>
          <w:b w:val="1"/>
          <w:bCs w:val="1"/>
          <w:color w:val="222222"/>
          <w:sz w:val="20"/>
          <w:szCs w:val="20"/>
          <w:shd w:val="clear" w:color="auto" w:fill="FFFFFF"/>
        </w:rPr>
        <w:t xml:space="preserve">Evaluación cardiopulmonar: </w:t>
      </w:r>
      <w:r w:rsidRPr="3B4457E7" w:rsidR="00297334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Evaluar presen</w:t>
      </w:r>
      <w:r w:rsidRPr="3B4457E7" w:rsidR="00E075F2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cia</w:t>
      </w:r>
      <w:r w:rsidRPr="3B4457E7" w:rsidR="00297334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 de soplos cardiacos, signos de obstrucción bronquial o derrame pleural (este último, como complicación de un edema generalizado)</w:t>
      </w:r>
    </w:p>
    <w:p w:rsidR="3B4457E7" w:rsidP="3B4457E7" w:rsidRDefault="3B4457E7" w14:paraId="62FDDDE9" w14:textId="0270FED5">
      <w:pPr>
        <w:pStyle w:val="Prrafodelista"/>
        <w:shd w:val="clear" w:color="auto" w:fill="FFFFFF" w:themeFill="background1"/>
        <w:spacing w:line="276" w:lineRule="auto"/>
        <w:ind w:left="720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</w:pPr>
    </w:p>
    <w:p w:rsidR="00297334" w:rsidP="3B4457E7" w:rsidRDefault="00297334" w14:paraId="7E64D659" w14:textId="31DF536F">
      <w:pPr>
        <w:pStyle w:val="Prrafodelista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</w:pPr>
      <w:r w:rsidRPr="3B4457E7" w:rsidR="00297334">
        <w:rPr>
          <w:rFonts w:ascii="Calibri Light" w:hAnsi="Calibri Light" w:cs="Calibri Light" w:asciiTheme="majorAscii" w:hAnsiTheme="majorAscii" w:cstheme="majorAscii"/>
          <w:b w:val="1"/>
          <w:bCs w:val="1"/>
          <w:color w:val="222222"/>
          <w:sz w:val="20"/>
          <w:szCs w:val="20"/>
          <w:shd w:val="clear" w:color="auto" w:fill="FFFFFF"/>
        </w:rPr>
        <w:t xml:space="preserve">Evaluación abdominal: </w:t>
      </w:r>
      <w:r w:rsidRPr="3B4457E7" w:rsidR="00297334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Buscar signos ascitis (complicación), hepatomegalia (causa hepática), masas abdominales</w:t>
      </w:r>
      <w:r w:rsidRPr="3B4457E7" w:rsidR="3EDDA493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.</w:t>
      </w:r>
    </w:p>
    <w:p w:rsidR="3B4457E7" w:rsidP="3B4457E7" w:rsidRDefault="3B4457E7" w14:paraId="74943D78" w14:textId="5934D48E">
      <w:pPr>
        <w:pStyle w:val="Prrafodelista"/>
        <w:shd w:val="clear" w:color="auto" w:fill="FFFFFF" w:themeFill="background1"/>
        <w:spacing w:line="276" w:lineRule="auto"/>
        <w:ind w:left="720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</w:pPr>
    </w:p>
    <w:p w:rsidR="00297334" w:rsidP="3B4457E7" w:rsidRDefault="00297334" w14:paraId="28456469" w14:textId="6E9E1B17">
      <w:pPr>
        <w:pStyle w:val="Prrafodelista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</w:pPr>
      <w:r w:rsidRPr="3B4457E7" w:rsidR="00297334">
        <w:rPr>
          <w:rFonts w:ascii="Calibri Light" w:hAnsi="Calibri Light" w:cs="Calibri Light" w:asciiTheme="majorAscii" w:hAnsiTheme="majorAscii" w:cstheme="majorAscii"/>
          <w:b w:val="1"/>
          <w:bCs w:val="1"/>
          <w:color w:val="222222"/>
          <w:sz w:val="20"/>
          <w:szCs w:val="20"/>
          <w:shd w:val="clear" w:color="auto" w:fill="FFFFFF"/>
        </w:rPr>
        <w:t xml:space="preserve">Genitales: </w:t>
      </w:r>
      <w:r w:rsidRPr="3B4457E7" w:rsidR="00297334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No olvidar evaluar genitales, </w:t>
      </w:r>
      <w:r w:rsidRPr="3B4457E7" w:rsidR="00E075F2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porque puede presentarse edema de</w:t>
      </w:r>
      <w:r w:rsidRPr="3B4457E7" w:rsidR="00297334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 escroto o labios mayores</w:t>
      </w:r>
      <w:r w:rsidRPr="3B4457E7" w:rsidR="00E075F2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, como </w:t>
      </w:r>
      <w:r w:rsidRPr="3B4457E7" w:rsidR="00297334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manifestación de edema generalizado</w:t>
      </w:r>
      <w:r w:rsidRPr="3B4457E7" w:rsidR="1049D509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.</w:t>
      </w:r>
    </w:p>
    <w:p w:rsidR="3B4457E7" w:rsidP="3B4457E7" w:rsidRDefault="3B4457E7" w14:paraId="151CE330" w14:textId="240FC324">
      <w:pPr>
        <w:pStyle w:val="Prrafodelista"/>
        <w:shd w:val="clear" w:color="auto" w:fill="FFFFFF" w:themeFill="background1"/>
        <w:spacing w:line="276" w:lineRule="auto"/>
        <w:ind w:left="720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</w:rPr>
      </w:pPr>
    </w:p>
    <w:p w:rsidR="00297334" w:rsidP="3B4457E7" w:rsidRDefault="00297334" w14:paraId="460B1C12" w14:textId="726CFEFB">
      <w:pPr>
        <w:pStyle w:val="Prrafodelista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</w:pPr>
      <w:r w:rsidRPr="3B4457E7" w:rsidR="00297334">
        <w:rPr>
          <w:rFonts w:ascii="Calibri Light" w:hAnsi="Calibri Light" w:cs="Calibri Light" w:asciiTheme="majorAscii" w:hAnsiTheme="majorAscii" w:cstheme="majorAscii"/>
          <w:b w:val="1"/>
          <w:bCs w:val="1"/>
          <w:color w:val="222222"/>
          <w:sz w:val="20"/>
          <w:szCs w:val="20"/>
          <w:shd w:val="clear" w:color="auto" w:fill="FFFFFF"/>
        </w:rPr>
        <w:t xml:space="preserve">Extremidades: </w:t>
      </w:r>
      <w:r w:rsidRPr="3B4457E7" w:rsidR="00297334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Buscar edema, cambios de coloración de la piel, signos de trombosis </w:t>
      </w:r>
      <w:r w:rsidRPr="3B4457E7" w:rsidR="00297334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>venosa</w:t>
      </w:r>
      <w:r w:rsidRPr="3B4457E7" w:rsidR="3F03FD1E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 </w:t>
      </w:r>
      <w:r w:rsidRPr="3B4457E7" w:rsidR="00B165E1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  <w:vertAlign w:val="superscript"/>
        </w:rPr>
        <w:t>(</w:t>
      </w:r>
      <w:r w:rsidRPr="3B4457E7" w:rsidR="00B165E1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  <w:vertAlign w:val="superscript"/>
        </w:rPr>
        <w:t>4)</w:t>
      </w:r>
      <w:r w:rsidRPr="3B4457E7" w:rsidR="00297334">
        <w:rPr>
          <w:rFonts w:ascii="Calibri Light" w:hAnsi="Calibri Light" w:cs="Calibri Light" w:asciiTheme="majorAscii" w:hAnsiTheme="majorAscii" w:cstheme="majorAscii"/>
          <w:color w:val="222222"/>
          <w:sz w:val="20"/>
          <w:szCs w:val="20"/>
          <w:shd w:val="clear" w:color="auto" w:fill="FFFFFF"/>
        </w:rPr>
        <w:t xml:space="preserve"> </w:t>
      </w:r>
    </w:p>
    <w:p w:rsidR="3B4457E7" w:rsidP="3B4457E7" w:rsidRDefault="3B4457E7" w14:paraId="38375579" w14:textId="5A4E99DB">
      <w:pPr>
        <w:shd w:val="clear" w:color="auto" w:fill="FFFFFF" w:themeFill="background1"/>
        <w:spacing w:line="276" w:lineRule="auto"/>
        <w:jc w:val="both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222222"/>
          <w:sz w:val="20"/>
          <w:szCs w:val="20"/>
          <w:lang w:eastAsia="es-CL"/>
        </w:rPr>
      </w:pPr>
    </w:p>
    <w:p w:rsidRPr="00C23947" w:rsidR="00EE27F8" w:rsidP="00E075F2" w:rsidRDefault="00EE27F8" w14:paraId="4C592D93" w14:textId="09357733">
      <w:pPr>
        <w:shd w:val="clear" w:color="auto" w:fill="FFFFFF"/>
        <w:spacing w:line="276" w:lineRule="auto"/>
        <w:jc w:val="both"/>
        <w:rPr>
          <w:rFonts w:eastAsia="Times New Roman" w:asciiTheme="majorHAnsi" w:hAnsiTheme="majorHAnsi" w:cstheme="majorHAnsi"/>
          <w:b/>
          <w:bCs/>
          <w:color w:val="222222"/>
          <w:sz w:val="20"/>
          <w:szCs w:val="20"/>
          <w:lang w:eastAsia="es-CL"/>
        </w:rPr>
      </w:pPr>
      <w:r w:rsidRPr="00C23947">
        <w:rPr>
          <w:rFonts w:eastAsia="Times New Roman" w:asciiTheme="majorHAnsi" w:hAnsiTheme="majorHAnsi" w:cstheme="majorHAnsi"/>
          <w:b/>
          <w:bCs/>
          <w:color w:val="222222"/>
          <w:sz w:val="20"/>
          <w:szCs w:val="20"/>
          <w:lang w:eastAsia="es-CL"/>
        </w:rPr>
        <w:t>S</w:t>
      </w:r>
      <w:r w:rsidRPr="00C23947" w:rsidR="00C23947">
        <w:rPr>
          <w:rFonts w:eastAsia="Times New Roman" w:asciiTheme="majorHAnsi" w:hAnsiTheme="majorHAnsi" w:cstheme="majorHAnsi"/>
          <w:b/>
          <w:bCs/>
          <w:color w:val="222222"/>
          <w:sz w:val="20"/>
          <w:szCs w:val="20"/>
          <w:lang w:eastAsia="es-CL"/>
        </w:rPr>
        <w:t>ÍNDROME NEFRÓTICO</w:t>
      </w:r>
    </w:p>
    <w:p w:rsidRPr="00BB75E1" w:rsidR="00797670" w:rsidP="3B4457E7" w:rsidRDefault="00797670" w14:paraId="1E0B40CD" w14:textId="045B07C8">
      <w:pPr>
        <w:shd w:val="clear" w:color="auto" w:fill="FFFFFF" w:themeFill="background1"/>
        <w:spacing w:line="276" w:lineRule="auto"/>
        <w:jc w:val="both"/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</w:pPr>
      <w:r w:rsidRPr="3B4457E7" w:rsidR="0051231F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Dentro del</w:t>
      </w:r>
      <w:r w:rsidRPr="3B4457E7" w:rsidR="00EE27F8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síndrome edematoso generalizado, la causa renal es la m</w:t>
      </w:r>
      <w:r w:rsidRPr="3B4457E7" w:rsidR="0079767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á</w:t>
      </w:r>
      <w:r w:rsidRPr="3B4457E7" w:rsidR="00EE27F8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s común y dentro de ellas el síndrome nefrótico e</w:t>
      </w:r>
      <w:r w:rsidRPr="3B4457E7" w:rsidR="00FB666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s e</w:t>
      </w:r>
      <w:r w:rsidRPr="3B4457E7" w:rsidR="00EE27F8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l m</w:t>
      </w:r>
      <w:r w:rsidRPr="3B4457E7" w:rsidR="0079767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á</w:t>
      </w:r>
      <w:r w:rsidRPr="3B4457E7" w:rsidR="00EE27F8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s prevalente.</w:t>
      </w:r>
      <w:r w:rsidRPr="3B4457E7" w:rsidR="07C353F5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</w:t>
      </w:r>
      <w:r w:rsidRPr="3B4457E7" w:rsidR="00EE27F8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Se produc</w:t>
      </w:r>
      <w:r w:rsidRPr="3B4457E7" w:rsidR="0079767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e por </w:t>
      </w:r>
      <w:r w:rsidRPr="3B4457E7" w:rsidR="00EE27F8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un</w:t>
      </w:r>
      <w:r w:rsidRPr="3B4457E7" w:rsidR="0079767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au</w:t>
      </w:r>
      <w:r w:rsidRPr="3B4457E7" w:rsidR="00EE27F8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mento</w:t>
      </w:r>
      <w:r w:rsidRPr="3B4457E7" w:rsidR="0079767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</w:t>
      </w:r>
      <w:r w:rsidRPr="3B4457E7" w:rsidR="00EE27F8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de</w:t>
      </w:r>
      <w:r w:rsidRPr="3B4457E7" w:rsidR="0079767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</w:t>
      </w:r>
      <w:r w:rsidRPr="3B4457E7" w:rsidR="00EE27F8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la permeabilidad </w:t>
      </w:r>
      <w:r w:rsidRPr="3B4457E7" w:rsidR="00FB666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capilar </w:t>
      </w:r>
      <w:r w:rsidRPr="3B4457E7" w:rsidR="00EE27F8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a través de la barrera de</w:t>
      </w:r>
      <w:r w:rsidRPr="3B4457E7" w:rsidR="0079767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</w:t>
      </w:r>
      <w:r w:rsidRPr="3B4457E7" w:rsidR="00EE27F8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filtración glomerular</w:t>
      </w:r>
      <w:r w:rsidRPr="3B4457E7" w:rsidR="00FB666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en el </w:t>
      </w:r>
      <w:r w:rsidRPr="3B4457E7" w:rsidR="00FB666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riñón</w:t>
      </w:r>
      <w:r w:rsidRPr="3B4457E7" w:rsidR="0FC7B3E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</w:t>
      </w:r>
      <w:r w:rsidRPr="3B4457E7" w:rsidR="0FC7B3E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vertAlign w:val="superscript"/>
          <w:lang w:eastAsia="es-CL"/>
        </w:rPr>
        <w:t>(</w:t>
      </w:r>
      <w:r w:rsidRPr="3B4457E7" w:rsidR="00BC605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vertAlign w:val="superscript"/>
          <w:lang w:eastAsia="es-CL"/>
        </w:rPr>
        <w:t>5)</w:t>
      </w:r>
      <w:r w:rsidRPr="3B4457E7" w:rsidR="35E50CE7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vertAlign w:val="superscript"/>
          <w:lang w:eastAsia="es-CL"/>
        </w:rPr>
        <w:t xml:space="preserve"> </w:t>
      </w:r>
      <w:r w:rsidRPr="3B4457E7" w:rsidR="0079767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Afecta a 1-3/100.000 niños menores de 16 años, con predominio de edad entre los 2 y los 10 años. </w:t>
      </w:r>
      <w:r w:rsidRPr="3B4457E7" w:rsidR="0079767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En niños, hay predominio masculino (2:1), lo que desaparece en </w:t>
      </w:r>
      <w:r w:rsidRPr="3B4457E7" w:rsidR="0079767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adolescentes</w:t>
      </w:r>
      <w:r w:rsidRPr="3B4457E7" w:rsidR="00BC605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vertAlign w:val="superscript"/>
          <w:lang w:eastAsia="es-CL"/>
        </w:rPr>
        <w:t>(</w:t>
      </w:r>
      <w:r w:rsidRPr="3B4457E7" w:rsidR="00BC605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vertAlign w:val="superscript"/>
          <w:lang w:eastAsia="es-CL"/>
        </w:rPr>
        <w:t>6)</w:t>
      </w:r>
      <w:r w:rsidRPr="3B4457E7" w:rsidR="0079767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. </w:t>
      </w:r>
      <w:proofErr w:type="gramStart"/>
      <w:proofErr w:type="gramEnd"/>
    </w:p>
    <w:p w:rsidRPr="00BB75E1" w:rsidR="00FB666C" w:rsidP="3B4457E7" w:rsidRDefault="00FB666C" w14:paraId="57D24AD5" w14:textId="3E212469">
      <w:pPr>
        <w:shd w:val="clear" w:color="auto" w:fill="FFFFFF" w:themeFill="background1"/>
        <w:spacing w:line="276" w:lineRule="auto"/>
        <w:jc w:val="both"/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</w:pPr>
      <w:r w:rsidRPr="3B4457E7" w:rsidR="00AD836F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El Síndrome nefrótico s</w:t>
      </w:r>
      <w:r w:rsidRPr="3B4457E7" w:rsidR="00797670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e clasifica en primario y secundario, siendo el primario el más prevalente (85-90%)</w:t>
      </w:r>
      <w:r w:rsidRPr="3B4457E7" w:rsidR="0475B9C6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. L</w:t>
      </w:r>
      <w:r w:rsidRPr="3B4457E7" w:rsidR="00FB666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a causa idiopática es la más común (90% en niños de 1 a 10 años), y en los hallazgos histológicos la enfermedad por cambios mínimos e</w:t>
      </w:r>
      <w:r w:rsidRPr="3B4457E7" w:rsidR="00111A28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s</w:t>
      </w:r>
      <w:r w:rsidRPr="3B4457E7" w:rsidR="00FB666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la más frecuente, seguido por la glomerulonefritis focal y segmentaria. </w:t>
      </w:r>
    </w:p>
    <w:p w:rsidRPr="00BB75E1" w:rsidR="00FB666C" w:rsidP="00E075F2" w:rsidRDefault="00FB666C" w14:paraId="0D573E5C" w14:textId="00C383B0">
      <w:pPr>
        <w:shd w:val="clear" w:color="auto" w:fill="FFFFFF"/>
        <w:spacing w:line="276" w:lineRule="auto"/>
        <w:jc w:val="both"/>
        <w:rPr>
          <w:rFonts w:eastAsia="Times New Roman" w:asciiTheme="majorHAnsi" w:hAnsiTheme="majorHAnsi" w:cstheme="majorHAnsi"/>
          <w:color w:val="222222"/>
          <w:sz w:val="20"/>
          <w:szCs w:val="20"/>
          <w:lang w:eastAsia="es-CL"/>
        </w:rPr>
      </w:pPr>
      <w:r w:rsidRPr="00BB75E1">
        <w:rPr>
          <w:rFonts w:eastAsia="Times New Roman" w:asciiTheme="majorHAnsi" w:hAnsiTheme="majorHAnsi" w:cstheme="majorHAnsi"/>
          <w:color w:val="222222"/>
          <w:sz w:val="20"/>
          <w:szCs w:val="20"/>
          <w:lang w:eastAsia="es-CL"/>
        </w:rPr>
        <w:t xml:space="preserve">El síndrome nefrótico secundario (10-15%) está asociado a una enfermedad sistémica o es secundario a otro proceso que causa lesión glomerular, por ejemplo, </w:t>
      </w:r>
      <w:r w:rsidRPr="00BB75E1" w:rsidR="00111A28">
        <w:rPr>
          <w:rFonts w:eastAsia="Times New Roman" w:asciiTheme="majorHAnsi" w:hAnsiTheme="majorHAnsi" w:cstheme="majorHAnsi"/>
          <w:color w:val="222222"/>
          <w:sz w:val="20"/>
          <w:szCs w:val="20"/>
          <w:lang w:eastAsia="es-CL"/>
        </w:rPr>
        <w:t>l</w:t>
      </w:r>
      <w:r w:rsidRPr="00BB75E1">
        <w:rPr>
          <w:rFonts w:eastAsia="Times New Roman" w:asciiTheme="majorHAnsi" w:hAnsiTheme="majorHAnsi" w:cstheme="majorHAnsi"/>
          <w:color w:val="222222"/>
          <w:sz w:val="20"/>
          <w:szCs w:val="20"/>
          <w:lang w:eastAsia="es-CL"/>
        </w:rPr>
        <w:t xml:space="preserve">upus </w:t>
      </w:r>
      <w:r w:rsidRPr="00BB75E1" w:rsidR="00111A28">
        <w:rPr>
          <w:rFonts w:eastAsia="Times New Roman" w:asciiTheme="majorHAnsi" w:hAnsiTheme="majorHAnsi" w:cstheme="majorHAnsi"/>
          <w:color w:val="222222"/>
          <w:sz w:val="20"/>
          <w:szCs w:val="20"/>
          <w:lang w:eastAsia="es-CL"/>
        </w:rPr>
        <w:t>e</w:t>
      </w:r>
      <w:r w:rsidRPr="00BB75E1">
        <w:rPr>
          <w:rFonts w:eastAsia="Times New Roman" w:asciiTheme="majorHAnsi" w:hAnsiTheme="majorHAnsi" w:cstheme="majorHAnsi"/>
          <w:color w:val="222222"/>
          <w:sz w:val="20"/>
          <w:szCs w:val="20"/>
          <w:lang w:eastAsia="es-CL"/>
        </w:rPr>
        <w:t xml:space="preserve">ritematoso sistémico o vasculitis. </w:t>
      </w:r>
    </w:p>
    <w:p w:rsidRPr="00BB75E1" w:rsidR="00FB666C" w:rsidP="3B4457E7" w:rsidRDefault="00FB666C" w14:paraId="0E93B29D" w14:textId="5BCD5495">
      <w:pPr>
        <w:shd w:val="clear" w:color="auto" w:fill="FFFFFF" w:themeFill="background1"/>
        <w:spacing w:line="276" w:lineRule="auto"/>
        <w:jc w:val="both"/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</w:pPr>
      <w:r w:rsidRPr="3B4457E7" w:rsidR="00FB666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En menores de </w:t>
      </w:r>
      <w:r w:rsidRPr="3B4457E7" w:rsidR="00111A28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1 año, </w:t>
      </w:r>
      <w:r w:rsidRPr="3B4457E7" w:rsidR="00FB666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la etiología cambia, siendo generalmente por causa genética o secundaria a infecciones congénitas, y presentan mal </w:t>
      </w:r>
      <w:r w:rsidRPr="3B4457E7" w:rsidR="3C91F128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pronóstico (</w:t>
      </w:r>
      <w:r w:rsidRPr="3B4457E7" w:rsidR="00986C96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vertAlign w:val="superscript"/>
          <w:lang w:eastAsia="es-CL"/>
        </w:rPr>
        <w:t>5)</w:t>
      </w:r>
      <w:r w:rsidRPr="3B4457E7" w:rsidR="00FB666C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. </w:t>
      </w:r>
    </w:p>
    <w:p w:rsidR="00111A28" w:rsidP="3B4457E7" w:rsidRDefault="00111A28" w14:paraId="197FA02D" w14:textId="01AEE01A">
      <w:p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3B4457E7" w:rsidR="0F9241CB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La </w:t>
      </w:r>
      <w:r w:rsidRPr="3B4457E7" w:rsidR="00F92AEE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clínica </w:t>
      </w:r>
      <w:r w:rsidRPr="3B4457E7" w:rsidR="46816C54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del síndrome nefrótico </w:t>
      </w:r>
      <w:r w:rsidRPr="3B4457E7" w:rsidR="00F92AEE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>se caracteriza por</w:t>
      </w:r>
      <w:r w:rsidRPr="3B4457E7" w:rsidR="00111A28">
        <w:rPr>
          <w:rFonts w:ascii="Calibri Light" w:hAnsi="Calibri Light" w:eastAsia="Times New Roman" w:cs="Calibri Light" w:asciiTheme="majorAscii" w:hAnsiTheme="majorAscii" w:cstheme="majorAscii"/>
          <w:color w:val="222222"/>
          <w:sz w:val="20"/>
          <w:szCs w:val="20"/>
          <w:lang w:eastAsia="es-CL"/>
        </w:rPr>
        <w:t xml:space="preserve"> p</w:t>
      </w:r>
      <w:r w:rsidRPr="3B4457E7" w:rsidR="00F92AEE">
        <w:rPr>
          <w:rFonts w:ascii="Calibri Light" w:hAnsi="Calibri Light" w:cs="Calibri Light" w:asciiTheme="majorAscii" w:hAnsiTheme="majorAscii" w:cstheme="majorAscii"/>
          <w:sz w:val="20"/>
          <w:szCs w:val="20"/>
        </w:rPr>
        <w:t>roteinuria en rango nefrótico</w:t>
      </w:r>
      <w:r w:rsidRPr="3B4457E7" w:rsidR="00111A28">
        <w:rPr>
          <w:rFonts w:ascii="Calibri Light" w:hAnsi="Calibri Light" w:cs="Calibri Light" w:asciiTheme="majorAscii" w:hAnsiTheme="majorAscii" w:cstheme="majorAscii"/>
          <w:sz w:val="20"/>
          <w:szCs w:val="20"/>
        </w:rPr>
        <w:t>, hipoalbuminemia (&lt;2.5mg/</w:t>
      </w:r>
      <w:r w:rsidRPr="3B4457E7" w:rsidR="00111A28">
        <w:rPr>
          <w:rFonts w:ascii="Calibri Light" w:hAnsi="Calibri Light" w:cs="Calibri Light" w:asciiTheme="majorAscii" w:hAnsiTheme="majorAscii" w:cstheme="majorAscii"/>
          <w:sz w:val="20"/>
          <w:szCs w:val="20"/>
        </w:rPr>
        <w:t>dL</w:t>
      </w:r>
      <w:r w:rsidRPr="3B4457E7" w:rsidR="00111A28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) y </w:t>
      </w:r>
      <w:r w:rsidRPr="3B4457E7" w:rsidR="00111A28">
        <w:rPr>
          <w:rFonts w:ascii="Calibri Light" w:hAnsi="Calibri Light" w:cs="Calibri Light" w:asciiTheme="majorAscii" w:hAnsiTheme="majorAscii" w:cstheme="majorAscii"/>
          <w:sz w:val="20"/>
          <w:szCs w:val="20"/>
        </w:rPr>
        <w:t>edema</w:t>
      </w:r>
      <w:r w:rsidRPr="3B4457E7" w:rsidR="00986C96">
        <w:rPr>
          <w:rFonts w:ascii="Calibri Light" w:hAnsi="Calibri Light" w:cs="Calibri Light" w:asciiTheme="majorAscii" w:hAnsiTheme="majorAscii" w:cstheme="majorAscii"/>
          <w:sz w:val="20"/>
          <w:szCs w:val="20"/>
          <w:vertAlign w:val="superscript"/>
        </w:rPr>
        <w:t>(</w:t>
      </w:r>
      <w:r w:rsidRPr="3B4457E7" w:rsidR="00986C96">
        <w:rPr>
          <w:rFonts w:ascii="Calibri Light" w:hAnsi="Calibri Light" w:cs="Calibri Light" w:asciiTheme="majorAscii" w:hAnsiTheme="majorAscii" w:cstheme="majorAscii"/>
          <w:sz w:val="20"/>
          <w:szCs w:val="20"/>
          <w:vertAlign w:val="superscript"/>
        </w:rPr>
        <w:t>8)</w:t>
      </w:r>
      <w:r w:rsidRPr="3B4457E7" w:rsidR="7A697CD3">
        <w:rPr>
          <w:rFonts w:ascii="Calibri Light" w:hAnsi="Calibri Light" w:cs="Calibri Light" w:asciiTheme="majorAscii" w:hAnsiTheme="majorAscii" w:cstheme="majorAscii"/>
          <w:sz w:val="20"/>
          <w:szCs w:val="20"/>
          <w:vertAlign w:val="superscript"/>
        </w:rPr>
        <w:t xml:space="preserve">. </w:t>
      </w:r>
      <w:r w:rsidRPr="3B4457E7" w:rsidR="7A697CD3">
        <w:rPr>
          <w:rFonts w:ascii="Calibri Light" w:hAnsi="Calibri Light" w:cs="Calibri Light" w:asciiTheme="majorAscii" w:hAnsiTheme="majorAscii" w:cstheme="majorAscii"/>
          <w:sz w:val="20"/>
          <w:szCs w:val="20"/>
        </w:rPr>
        <w:t>E</w:t>
      </w:r>
      <w:r w:rsidRPr="3B4457E7" w:rsidR="00111A28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s posible encontrar otros signos como: </w:t>
      </w:r>
    </w:p>
    <w:p w:rsidRPr="00E075F2" w:rsidR="00E075F2" w:rsidP="00E075F2" w:rsidRDefault="00111A28" w14:paraId="55ADEF80" w14:textId="77777777">
      <w:pPr>
        <w:pStyle w:val="Prrafodelista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075F2">
        <w:rPr>
          <w:rFonts w:asciiTheme="majorHAnsi" w:hAnsiTheme="majorHAnsi" w:cstheme="majorHAnsi"/>
          <w:sz w:val="20"/>
          <w:szCs w:val="20"/>
        </w:rPr>
        <w:t>Hiperlipidemia (Aumento de Col Total, Col LDL y triglicéridos)</w:t>
      </w:r>
    </w:p>
    <w:p w:rsidRPr="00E075F2" w:rsidR="00E075F2" w:rsidP="00E075F2" w:rsidRDefault="00111A28" w14:paraId="77D41CC2" w14:textId="56146627">
      <w:pPr>
        <w:pStyle w:val="Prrafodelista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075F2">
        <w:rPr>
          <w:rFonts w:asciiTheme="majorHAnsi" w:hAnsiTheme="majorHAnsi" w:cstheme="majorHAnsi"/>
          <w:sz w:val="20"/>
          <w:szCs w:val="20"/>
        </w:rPr>
        <w:t xml:space="preserve">Hematuria </w:t>
      </w:r>
    </w:p>
    <w:p w:rsidRPr="00E075F2" w:rsidR="00E075F2" w:rsidP="00E075F2" w:rsidRDefault="00111A28" w14:paraId="34EFD2FB" w14:textId="2848EC55">
      <w:pPr>
        <w:pStyle w:val="Prrafodelista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075F2">
        <w:rPr>
          <w:rFonts w:asciiTheme="majorHAnsi" w:hAnsiTheme="majorHAnsi" w:cstheme="majorHAnsi"/>
          <w:sz w:val="20"/>
          <w:szCs w:val="20"/>
        </w:rPr>
        <w:t xml:space="preserve">Hipertensión arterial </w:t>
      </w:r>
    </w:p>
    <w:p w:rsidRPr="00E075F2" w:rsidR="00111A28" w:rsidP="00E075F2" w:rsidRDefault="00111A28" w14:paraId="50BC1A37" w14:textId="1338D385">
      <w:pPr>
        <w:pStyle w:val="Prrafodelista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075F2">
        <w:rPr>
          <w:rFonts w:asciiTheme="majorHAnsi" w:hAnsiTheme="majorHAnsi" w:cstheme="majorHAnsi"/>
          <w:sz w:val="20"/>
          <w:szCs w:val="20"/>
        </w:rPr>
        <w:t xml:space="preserve">Insuficiencia renal </w:t>
      </w:r>
    </w:p>
    <w:p w:rsidRPr="00BB75E1" w:rsidR="00F92AEE" w:rsidP="00E075F2" w:rsidRDefault="00111A28" w14:paraId="3502F226" w14:textId="1AE89B82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B75E1">
        <w:rPr>
          <w:rFonts w:asciiTheme="majorHAnsi" w:hAnsiTheme="majorHAnsi" w:cstheme="majorHAnsi"/>
          <w:sz w:val="20"/>
          <w:szCs w:val="20"/>
        </w:rPr>
        <w:lastRenderedPageBreak/>
        <w:t xml:space="preserve">La proteinuria en rango nefrótico se define como </w:t>
      </w:r>
      <w:r w:rsidRPr="00BB75E1" w:rsidR="00F92AEE">
        <w:rPr>
          <w:rFonts w:asciiTheme="majorHAnsi" w:hAnsiTheme="majorHAnsi" w:cstheme="majorHAnsi"/>
          <w:sz w:val="20"/>
          <w:szCs w:val="20"/>
        </w:rPr>
        <w:t>&gt;50 mg/kg/día o 40 mg/h/m2 en una muestra de orina de 24 horas</w:t>
      </w:r>
      <w:r w:rsidRPr="00BB75E1">
        <w:rPr>
          <w:rFonts w:asciiTheme="majorHAnsi" w:hAnsiTheme="majorHAnsi" w:cstheme="majorHAnsi"/>
          <w:sz w:val="20"/>
          <w:szCs w:val="20"/>
        </w:rPr>
        <w:t>, r</w:t>
      </w:r>
      <w:r w:rsidRPr="00BB75E1" w:rsidR="00F92AEE">
        <w:rPr>
          <w:rFonts w:asciiTheme="majorHAnsi" w:hAnsiTheme="majorHAnsi" w:cstheme="majorHAnsi"/>
          <w:sz w:val="20"/>
          <w:szCs w:val="20"/>
        </w:rPr>
        <w:t>elación proteína-creatinina en orina aislada matutina &gt;2 mg de proteína/mg de creatinina (200 mg/mmol)</w:t>
      </w:r>
      <w:r w:rsidRPr="00BB75E1">
        <w:rPr>
          <w:rFonts w:asciiTheme="majorHAnsi" w:hAnsiTheme="majorHAnsi" w:cstheme="majorHAnsi"/>
          <w:sz w:val="20"/>
          <w:szCs w:val="20"/>
        </w:rPr>
        <w:t>, o t</w:t>
      </w:r>
      <w:r w:rsidRPr="00BB75E1" w:rsidR="00F92AEE">
        <w:rPr>
          <w:rFonts w:asciiTheme="majorHAnsi" w:hAnsiTheme="majorHAnsi" w:cstheme="majorHAnsi"/>
          <w:sz w:val="20"/>
          <w:szCs w:val="20"/>
        </w:rPr>
        <w:t>ira reactiva +++ o superior</w:t>
      </w:r>
      <w:r w:rsidRPr="00BB75E1">
        <w:rPr>
          <w:rFonts w:asciiTheme="majorHAnsi" w:hAnsiTheme="majorHAnsi" w:cstheme="majorHAnsi"/>
          <w:sz w:val="20"/>
          <w:szCs w:val="20"/>
        </w:rPr>
        <w:t xml:space="preserve">. </w:t>
      </w:r>
    </w:p>
    <w:p w:rsidRPr="00BB75E1" w:rsidR="00F92AEE" w:rsidP="3B4457E7" w:rsidRDefault="00111A28" w14:paraId="74B415C8" w14:textId="6F7A18D7">
      <w:p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3B4457E7" w:rsidR="5DFD0AE9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Tratamiento del </w:t>
      </w:r>
      <w:r w:rsidRPr="3B4457E7" w:rsidR="5DFD0AE9">
        <w:rPr>
          <w:rFonts w:ascii="Calibri Light" w:hAnsi="Calibri Light" w:cs="Calibri Light" w:asciiTheme="majorAscii" w:hAnsiTheme="majorAscii" w:cstheme="majorAscii"/>
          <w:sz w:val="20"/>
          <w:szCs w:val="20"/>
        </w:rPr>
        <w:t>sindrome</w:t>
      </w:r>
      <w:r w:rsidRPr="3B4457E7" w:rsidR="5DFD0AE9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 nefrótico</w:t>
      </w:r>
      <w:r w:rsidRPr="3B4457E7" w:rsidR="7421A680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 </w:t>
      </w:r>
      <w:r w:rsidRPr="3B4457E7" w:rsidR="7421A680">
        <w:rPr>
          <w:rFonts w:ascii="Calibri Light" w:hAnsi="Calibri Light" w:cs="Calibri Light" w:asciiTheme="majorAscii" w:hAnsiTheme="majorAscii" w:cstheme="majorAscii"/>
          <w:sz w:val="20"/>
          <w:szCs w:val="20"/>
          <w:vertAlign w:val="superscript"/>
        </w:rPr>
        <w:t>(6-7)</w:t>
      </w:r>
      <w:r w:rsidRPr="3B4457E7" w:rsidR="5DFD0AE9">
        <w:rPr>
          <w:rFonts w:ascii="Calibri Light" w:hAnsi="Calibri Light" w:cs="Calibri Light" w:asciiTheme="majorAscii" w:hAnsiTheme="majorAscii" w:cstheme="majorAscii"/>
          <w:sz w:val="20"/>
          <w:szCs w:val="20"/>
        </w:rPr>
        <w:t>:</w:t>
      </w:r>
    </w:p>
    <w:p w:rsidRPr="00BB75E1" w:rsidR="00F92AEE" w:rsidP="3B4457E7" w:rsidRDefault="00111A28" w14:paraId="54C938E4" w14:textId="5059C8F7">
      <w:pPr>
        <w:pStyle w:val="Normal"/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3B4457E7" w:rsidR="72A440B9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Si se sospecha que es el primer episodio, los pacientes deben ser hospitalizados para evaluar la respuesta al tratamiento con corticoides .   </w:t>
      </w:r>
    </w:p>
    <w:p w:rsidRPr="00BB75E1" w:rsidR="00F92AEE" w:rsidP="3B4457E7" w:rsidRDefault="00111A28" w14:paraId="5581C8E6" w14:textId="09866362">
      <w:pPr>
        <w:pStyle w:val="Normal"/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3B4457E7" w:rsidR="5DFD0AE9">
        <w:rPr>
          <w:rFonts w:ascii="Calibri Light" w:hAnsi="Calibri Light" w:cs="Calibri Light" w:asciiTheme="majorAscii" w:hAnsiTheme="majorAscii" w:cstheme="majorAscii"/>
          <w:sz w:val="20"/>
          <w:szCs w:val="20"/>
        </w:rPr>
        <w:t>L</w:t>
      </w:r>
      <w:r w:rsidRPr="3B4457E7" w:rsidR="00111A28">
        <w:rPr>
          <w:rFonts w:ascii="Calibri Light" w:hAnsi="Calibri Light" w:cs="Calibri Light" w:asciiTheme="majorAscii" w:hAnsiTheme="majorAscii" w:cstheme="majorAscii"/>
          <w:sz w:val="20"/>
          <w:szCs w:val="20"/>
        </w:rPr>
        <w:t>as recom</w:t>
      </w:r>
      <w:r w:rsidRPr="3B4457E7" w:rsidR="00F92AEE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endaciones de la rama de nefrología de la </w:t>
      </w:r>
      <w:r w:rsidRPr="3B4457E7" w:rsidR="0E632079">
        <w:rPr>
          <w:rFonts w:ascii="Calibri Light" w:hAnsi="Calibri Light" w:cs="Calibri Light" w:asciiTheme="majorAscii" w:hAnsiTheme="majorAscii" w:cstheme="majorAscii"/>
          <w:sz w:val="20"/>
          <w:szCs w:val="20"/>
        </w:rPr>
        <w:t>S</w:t>
      </w:r>
      <w:r w:rsidRPr="3B4457E7" w:rsidR="00F92AEE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ociedad </w:t>
      </w:r>
      <w:r w:rsidRPr="3B4457E7" w:rsidR="4F2FFE17">
        <w:rPr>
          <w:rFonts w:ascii="Calibri Light" w:hAnsi="Calibri Light" w:cs="Calibri Light" w:asciiTheme="majorAscii" w:hAnsiTheme="majorAscii" w:cstheme="majorAscii"/>
          <w:sz w:val="20"/>
          <w:szCs w:val="20"/>
        </w:rPr>
        <w:t>C</w:t>
      </w:r>
      <w:r w:rsidRPr="3B4457E7" w:rsidR="00F92AEE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hilena de </w:t>
      </w:r>
      <w:r w:rsidRPr="3B4457E7" w:rsidR="4CD9D138">
        <w:rPr>
          <w:rFonts w:ascii="Calibri Light" w:hAnsi="Calibri Light" w:cs="Calibri Light" w:asciiTheme="majorAscii" w:hAnsiTheme="majorAscii" w:cstheme="majorAscii"/>
          <w:sz w:val="20"/>
          <w:szCs w:val="20"/>
        </w:rPr>
        <w:t>P</w:t>
      </w:r>
      <w:r w:rsidRPr="3B4457E7" w:rsidR="00F92AEE">
        <w:rPr>
          <w:rFonts w:ascii="Calibri Light" w:hAnsi="Calibri Light" w:cs="Calibri Light" w:asciiTheme="majorAscii" w:hAnsiTheme="majorAscii" w:cstheme="majorAscii"/>
          <w:sz w:val="20"/>
          <w:szCs w:val="20"/>
        </w:rPr>
        <w:t>ediatr</w:t>
      </w:r>
      <w:r w:rsidRPr="3B4457E7" w:rsidR="00111A28">
        <w:rPr>
          <w:rFonts w:ascii="Calibri Light" w:hAnsi="Calibri Light" w:cs="Calibri Light" w:asciiTheme="majorAscii" w:hAnsiTheme="majorAscii" w:cstheme="majorAscii"/>
          <w:sz w:val="20"/>
          <w:szCs w:val="20"/>
        </w:rPr>
        <w:t>í</w:t>
      </w:r>
      <w:r w:rsidRPr="3B4457E7" w:rsidR="00F92AEE">
        <w:rPr>
          <w:rFonts w:ascii="Calibri Light" w:hAnsi="Calibri Light" w:cs="Calibri Light" w:asciiTheme="majorAscii" w:hAnsiTheme="majorAscii" w:cstheme="majorAscii"/>
          <w:sz w:val="20"/>
          <w:szCs w:val="20"/>
        </w:rPr>
        <w:t>a</w:t>
      </w:r>
      <w:r w:rsidRPr="3B4457E7" w:rsidR="7EFF044B">
        <w:rPr>
          <w:rFonts w:ascii="Calibri Light" w:hAnsi="Calibri Light" w:cs="Calibri Light" w:asciiTheme="majorAscii" w:hAnsiTheme="majorAscii" w:cstheme="majorAscii"/>
          <w:sz w:val="20"/>
          <w:szCs w:val="20"/>
        </w:rPr>
        <w:t>,</w:t>
      </w:r>
      <w:r w:rsidRPr="3B4457E7" w:rsidR="00F92AEE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 publicadas en el año 2015, </w:t>
      </w:r>
      <w:r w:rsidRPr="3B4457E7" w:rsidR="00111A28">
        <w:rPr>
          <w:rFonts w:ascii="Calibri Light" w:hAnsi="Calibri Light" w:cs="Calibri Light" w:asciiTheme="majorAscii" w:hAnsiTheme="majorAscii" w:cstheme="majorAscii"/>
          <w:sz w:val="20"/>
          <w:szCs w:val="20"/>
        </w:rPr>
        <w:t>indican que la base del tratamiento son los corticoides, definiendo como tratamiento de primera línea la prednisona en dosis única matinal por vía oral. En una primera fase, se indica a dosis diaria de 60 mg/m2 o 2 mg/kg al día, con un máximo de 60 mg, durante 6 semanas. Luego,</w:t>
      </w:r>
      <w:r w:rsidRPr="3B4457E7" w:rsidR="00D2725B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 en una segunda fase,</w:t>
      </w:r>
      <w:r w:rsidRPr="3B4457E7" w:rsidR="00E075F2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 </w:t>
      </w:r>
      <w:r w:rsidRPr="3B4457E7" w:rsidR="00D2725B">
        <w:rPr>
          <w:rFonts w:ascii="Calibri Light" w:hAnsi="Calibri Light" w:cs="Calibri Light" w:asciiTheme="majorAscii" w:hAnsiTheme="majorAscii" w:cstheme="majorAscii"/>
          <w:sz w:val="20"/>
          <w:szCs w:val="20"/>
        </w:rPr>
        <w:t>si existe una buena respuesta clínica</w:t>
      </w:r>
      <w:r w:rsidRPr="3B4457E7" w:rsidR="00111A28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, se </w:t>
      </w:r>
      <w:r w:rsidRPr="3B4457E7" w:rsidR="00D2725B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disminuye la dosis de </w:t>
      </w:r>
      <w:r w:rsidRPr="3B4457E7" w:rsidR="00111A28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prednisona </w:t>
      </w:r>
      <w:r w:rsidRPr="3B4457E7" w:rsidR="00D2725B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a </w:t>
      </w:r>
      <w:r w:rsidRPr="3B4457E7" w:rsidR="00111A28">
        <w:rPr>
          <w:rFonts w:ascii="Calibri Light" w:hAnsi="Calibri Light" w:cs="Calibri Light" w:asciiTheme="majorAscii" w:hAnsiTheme="majorAscii" w:cstheme="majorAscii"/>
          <w:sz w:val="20"/>
          <w:szCs w:val="20"/>
        </w:rPr>
        <w:t>40 mg/m2</w:t>
      </w:r>
      <w:r w:rsidRPr="3B4457E7" w:rsidR="00D2725B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 </w:t>
      </w:r>
      <w:r w:rsidRPr="3B4457E7" w:rsidR="00111A28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o 1,5 mg/kg en días alternos, con un máximo de 40 mg, durante 6 semanas. </w:t>
      </w:r>
      <w:r w:rsidRPr="3B4457E7" w:rsidR="00D2725B">
        <w:rPr>
          <w:rFonts w:ascii="Calibri Light" w:hAnsi="Calibri Light" w:cs="Calibri Light" w:asciiTheme="majorAscii" w:hAnsiTheme="majorAscii" w:cstheme="majorAscii"/>
          <w:sz w:val="20"/>
          <w:szCs w:val="20"/>
        </w:rPr>
        <w:t>Posteriormente,</w:t>
      </w:r>
      <w:r w:rsidRPr="3B4457E7" w:rsidR="00111A28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 se disminuye la dosis de forma progresiva en 1 a 3 meses hasta </w:t>
      </w:r>
      <w:r w:rsidRPr="3B4457E7" w:rsidR="016762CF">
        <w:rPr>
          <w:rFonts w:ascii="Calibri Light" w:hAnsi="Calibri Light" w:cs="Calibri Light" w:asciiTheme="majorAscii" w:hAnsiTheme="majorAscii" w:cstheme="majorAscii"/>
          <w:sz w:val="20"/>
          <w:szCs w:val="20"/>
        </w:rPr>
        <w:t>suspender.</w:t>
      </w:r>
      <w:r w:rsidRPr="3B4457E7" w:rsidR="00111A28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 </w:t>
      </w:r>
    </w:p>
    <w:p w:rsidRPr="00BB75E1" w:rsidR="00111A28" w:rsidP="3B4457E7" w:rsidRDefault="00111A28" w14:paraId="1FEF1750" w14:textId="32FDC0F7">
      <w:p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3B4457E7" w:rsidR="29106F01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La mayoría de los niños con síndrome nefrótico idiopático responde al tratamiento. Sólo un 20% es </w:t>
      </w:r>
      <w:r w:rsidRPr="3B4457E7" w:rsidR="29106F01">
        <w:rPr>
          <w:rFonts w:ascii="Calibri Light" w:hAnsi="Calibri Light" w:cs="Calibri Light" w:asciiTheme="majorAscii" w:hAnsiTheme="majorAscii" w:cstheme="majorAscii"/>
          <w:sz w:val="20"/>
          <w:szCs w:val="20"/>
        </w:rPr>
        <w:t>corticorresistente</w:t>
      </w:r>
      <w:r w:rsidRPr="3B4457E7" w:rsidR="29106F01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. </w:t>
      </w:r>
    </w:p>
    <w:p w:rsidRPr="00BB75E1" w:rsidR="00111A28" w:rsidP="3B4457E7" w:rsidRDefault="00111A28" w14:paraId="605A8CB0" w14:textId="562587EE">
      <w:p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3B4457E7" w:rsidR="00111A28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Los inmunosupresores </w:t>
      </w:r>
      <w:r w:rsidRPr="3B4457E7" w:rsidR="00E075F2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(ciclofosfamida, ciclosporina, </w:t>
      </w:r>
      <w:r w:rsidRPr="3B4457E7" w:rsidR="00E075F2">
        <w:rPr>
          <w:rFonts w:ascii="Calibri Light" w:hAnsi="Calibri Light" w:cs="Calibri Light" w:asciiTheme="majorAscii" w:hAnsiTheme="majorAscii" w:cstheme="majorAscii"/>
          <w:sz w:val="20"/>
          <w:szCs w:val="20"/>
        </w:rPr>
        <w:t>tacrolimus</w:t>
      </w:r>
      <w:r w:rsidRPr="3B4457E7" w:rsidR="00E075F2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 y micofenolato </w:t>
      </w:r>
      <w:r w:rsidRPr="3B4457E7" w:rsidR="00E075F2">
        <w:rPr>
          <w:rFonts w:ascii="Calibri Light" w:hAnsi="Calibri Light" w:cs="Calibri Light" w:asciiTheme="majorAscii" w:hAnsiTheme="majorAscii" w:cstheme="majorAscii"/>
          <w:sz w:val="20"/>
          <w:szCs w:val="20"/>
        </w:rPr>
        <w:t>mofetilo</w:t>
      </w:r>
      <w:r w:rsidRPr="3B4457E7" w:rsidR="00E075F2">
        <w:rPr>
          <w:rFonts w:ascii="Calibri Light" w:hAnsi="Calibri Light" w:cs="Calibri Light" w:asciiTheme="majorAscii" w:hAnsiTheme="majorAscii" w:cstheme="majorAscii"/>
          <w:sz w:val="20"/>
          <w:szCs w:val="20"/>
        </w:rPr>
        <w:t>)</w:t>
      </w:r>
      <w:r w:rsidRPr="3B4457E7" w:rsidR="00E075F2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 </w:t>
      </w:r>
      <w:r w:rsidRPr="3B4457E7" w:rsidR="00111A28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están indicados en casos de resistencia, dependencia o efectos secundarios de los </w:t>
      </w:r>
      <w:r w:rsidRPr="3B4457E7" w:rsidR="00111A28">
        <w:rPr>
          <w:rFonts w:ascii="Calibri Light" w:hAnsi="Calibri Light" w:cs="Calibri Light" w:asciiTheme="majorAscii" w:hAnsiTheme="majorAscii" w:cstheme="majorAscii"/>
          <w:sz w:val="20"/>
          <w:szCs w:val="20"/>
        </w:rPr>
        <w:t>corticoides</w:t>
      </w:r>
      <w:r w:rsidRPr="3B4457E7" w:rsidR="4B8F568D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 </w:t>
      </w:r>
      <w:r w:rsidRPr="3B4457E7" w:rsidR="00986C96">
        <w:rPr>
          <w:rFonts w:ascii="Calibri Light" w:hAnsi="Calibri Light" w:cs="Calibri Light" w:asciiTheme="majorAscii" w:hAnsiTheme="majorAscii" w:cstheme="majorAscii"/>
          <w:sz w:val="20"/>
          <w:szCs w:val="20"/>
          <w:vertAlign w:val="superscript"/>
        </w:rPr>
        <w:t>(</w:t>
      </w:r>
      <w:r w:rsidRPr="3B4457E7" w:rsidR="00986C96">
        <w:rPr>
          <w:rFonts w:ascii="Calibri Light" w:hAnsi="Calibri Light" w:cs="Calibri Light" w:asciiTheme="majorAscii" w:hAnsiTheme="majorAscii" w:cstheme="majorAscii"/>
          <w:sz w:val="20"/>
          <w:szCs w:val="20"/>
          <w:vertAlign w:val="superscript"/>
        </w:rPr>
        <w:t>6)</w:t>
      </w:r>
      <w:r w:rsidRPr="3B4457E7" w:rsidR="00E075F2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. </w:t>
      </w:r>
    </w:p>
    <w:p w:rsidR="33BC97C3" w:rsidP="3B4457E7" w:rsidRDefault="33BC97C3" w14:paraId="6D04DDF6" w14:textId="1C49196E">
      <w:pPr>
        <w:pStyle w:val="Normal"/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3B4457E7" w:rsidR="33BC97C3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Evolución: </w:t>
      </w:r>
    </w:p>
    <w:p w:rsidRPr="00BB75E1" w:rsidR="00F92AEE" w:rsidP="3B4457E7" w:rsidRDefault="00F92AEE" w14:paraId="2C499E9A" w14:textId="7BFA2330">
      <w:pPr>
        <w:pStyle w:val="Prrafodelista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3B4457E7" w:rsidR="00D2725B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Las recaídas, definidas como una nueva aparición de síntomas, son frecuentes y se presenta en 2/3 de los niños en los primeros 2 meses </w:t>
      </w:r>
      <w:r w:rsidRPr="3B4457E7" w:rsidR="00F92AEE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y hasta </w:t>
      </w:r>
      <w:r w:rsidRPr="3B4457E7" w:rsidR="00D2725B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en </w:t>
      </w:r>
      <w:r w:rsidRPr="3B4457E7" w:rsidR="00F92AEE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el 60% </w:t>
      </w:r>
      <w:r w:rsidRPr="3B4457E7" w:rsidR="00D2725B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con </w:t>
      </w:r>
      <w:r w:rsidRPr="3B4457E7" w:rsidR="00F92AEE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dependencia </w:t>
      </w:r>
      <w:r w:rsidRPr="3B4457E7" w:rsidR="00D2725B">
        <w:rPr>
          <w:rFonts w:ascii="Calibri Light" w:hAnsi="Calibri Light" w:cs="Calibri Light" w:asciiTheme="majorAscii" w:hAnsiTheme="majorAscii" w:cstheme="majorAscii"/>
          <w:sz w:val="20"/>
          <w:szCs w:val="20"/>
        </w:rPr>
        <w:t>a</w:t>
      </w:r>
      <w:r w:rsidRPr="3B4457E7" w:rsidR="00F92AEE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 corticoides.</w:t>
      </w:r>
      <w:proofErr w:type="gramStart"/>
      <w:proofErr w:type="gramEnd"/>
    </w:p>
    <w:p w:rsidRPr="00BB75E1" w:rsidR="00F92AEE" w:rsidP="3B4457E7" w:rsidRDefault="00F92AEE" w14:paraId="5AF801F0" w14:textId="0B6567BB">
      <w:pPr>
        <w:pStyle w:val="Prrafodelista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3B4457E7" w:rsidR="00F92AEE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Los niños más pequeños tienen mayor riesgo de recaídas y duración de la enfermedad, </w:t>
      </w:r>
      <w:r w:rsidRPr="3B4457E7" w:rsidR="00D2725B">
        <w:rPr>
          <w:rFonts w:ascii="Calibri Light" w:hAnsi="Calibri Light" w:cs="Calibri Light" w:asciiTheme="majorAscii" w:hAnsiTheme="majorAscii" w:cstheme="majorAscii"/>
          <w:sz w:val="20"/>
          <w:szCs w:val="20"/>
        </w:rPr>
        <w:t>lo que está relacionado inve</w:t>
      </w:r>
      <w:r w:rsidRPr="3B4457E7" w:rsidR="00F92AEE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rsamente con la edad de </w:t>
      </w:r>
      <w:r w:rsidRPr="3B4457E7" w:rsidR="00F92AEE">
        <w:rPr>
          <w:rFonts w:ascii="Calibri Light" w:hAnsi="Calibri Light" w:cs="Calibri Light" w:asciiTheme="majorAscii" w:hAnsiTheme="majorAscii" w:cstheme="majorAscii"/>
          <w:sz w:val="20"/>
          <w:szCs w:val="20"/>
        </w:rPr>
        <w:t>presentación</w:t>
      </w:r>
      <w:r w:rsidRPr="3B4457E7" w:rsidR="5D359030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 </w:t>
      </w:r>
      <w:r w:rsidRPr="3B4457E7" w:rsidR="1C6343DC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 </w:t>
      </w:r>
      <w:r w:rsidRPr="3B4457E7" w:rsidR="00986C96">
        <w:rPr>
          <w:rFonts w:ascii="Calibri Light" w:hAnsi="Calibri Light" w:cs="Calibri Light" w:asciiTheme="majorAscii" w:hAnsiTheme="majorAscii" w:cstheme="majorAscii"/>
          <w:sz w:val="20"/>
          <w:szCs w:val="20"/>
          <w:vertAlign w:val="superscript"/>
        </w:rPr>
        <w:t>(</w:t>
      </w:r>
      <w:r w:rsidRPr="3B4457E7" w:rsidR="00986C96">
        <w:rPr>
          <w:rFonts w:ascii="Calibri Light" w:hAnsi="Calibri Light" w:cs="Calibri Light" w:asciiTheme="majorAscii" w:hAnsiTheme="majorAscii" w:cstheme="majorAscii"/>
          <w:sz w:val="20"/>
          <w:szCs w:val="20"/>
          <w:vertAlign w:val="superscript"/>
        </w:rPr>
        <w:t>8)</w:t>
      </w:r>
      <w:r w:rsidRPr="3B4457E7" w:rsidR="00F92AEE">
        <w:rPr>
          <w:rFonts w:ascii="Calibri Light" w:hAnsi="Calibri Light" w:cs="Calibri Light" w:asciiTheme="majorAscii" w:hAnsiTheme="majorAscii" w:cstheme="majorAscii"/>
          <w:sz w:val="20"/>
          <w:szCs w:val="20"/>
        </w:rPr>
        <w:t>.</w:t>
      </w:r>
    </w:p>
    <w:p w:rsidR="3B4457E7" w:rsidP="3B4457E7" w:rsidRDefault="3B4457E7" w14:paraId="5FFB2CE6" w14:textId="6DD8845F">
      <w:p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b w:val="1"/>
          <w:bCs w:val="1"/>
          <w:sz w:val="20"/>
          <w:szCs w:val="20"/>
        </w:rPr>
      </w:pPr>
    </w:p>
    <w:p w:rsidRPr="00967326" w:rsidR="00D2725B" w:rsidP="00E075F2" w:rsidRDefault="00C836C5" w14:paraId="70CDF815" w14:textId="2BFC4C0F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967326">
        <w:rPr>
          <w:rFonts w:asciiTheme="majorHAnsi" w:hAnsiTheme="majorHAnsi" w:cstheme="majorHAnsi"/>
          <w:b/>
          <w:bCs/>
          <w:sz w:val="20"/>
          <w:szCs w:val="20"/>
        </w:rPr>
        <w:t>C</w:t>
      </w:r>
      <w:r w:rsidRPr="00967326" w:rsidR="00C23947">
        <w:rPr>
          <w:rFonts w:asciiTheme="majorHAnsi" w:hAnsiTheme="majorHAnsi" w:cstheme="majorHAnsi"/>
          <w:b/>
          <w:bCs/>
          <w:sz w:val="20"/>
          <w:szCs w:val="20"/>
        </w:rPr>
        <w:t>ONCLUSIONES</w:t>
      </w:r>
    </w:p>
    <w:p w:rsidRPr="00967326" w:rsidR="005C6D53" w:rsidP="3B4457E7" w:rsidRDefault="00967326" w14:paraId="63AA8EA7" w14:textId="49F1D557">
      <w:pPr>
        <w:pStyle w:val="Prrafodelista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3B4457E7" w:rsidR="005C6D53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El edema en niños puede clasificarse según su extensión como localizado o generalizado. Esto nos permite orientar a sus diferencias causas y a buscar </w:t>
      </w:r>
      <w:r w:rsidRPr="3B4457E7" w:rsidR="005C6D53">
        <w:rPr>
          <w:rFonts w:ascii="Calibri Light" w:hAnsi="Calibri Light" w:cs="Calibri Light" w:asciiTheme="majorAscii" w:hAnsiTheme="majorAscii" w:cstheme="majorAscii"/>
          <w:sz w:val="20"/>
          <w:szCs w:val="20"/>
        </w:rPr>
        <w:t>dirigidamente</w:t>
      </w:r>
      <w:r w:rsidRPr="3B4457E7" w:rsidR="005C6D53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 en la anamnesis y el examen físico los elementos claves para definir su estudio y manejo. </w:t>
      </w:r>
    </w:p>
    <w:p w:rsidRPr="00967326" w:rsidR="005C6D53" w:rsidP="3B4457E7" w:rsidRDefault="00967326" w14:paraId="36B0E8A1" w14:textId="7A976C0C">
      <w:pPr>
        <w:pStyle w:val="Prrafodelista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3B4457E7" w:rsidR="005C6D53">
        <w:rPr>
          <w:rFonts w:ascii="Calibri Light" w:hAnsi="Calibri Light" w:cs="Calibri Light" w:asciiTheme="majorAscii" w:hAnsiTheme="majorAscii" w:cstheme="majorAscii"/>
          <w:sz w:val="20"/>
          <w:szCs w:val="20"/>
        </w:rPr>
        <w:t>El síndrome nefrótico es una de las principales causas de edema generalizado</w:t>
      </w:r>
      <w:r w:rsidRPr="3B4457E7" w:rsidR="3A19C739">
        <w:rPr>
          <w:rFonts w:ascii="Calibri Light" w:hAnsi="Calibri Light" w:cs="Calibri Light" w:asciiTheme="majorAscii" w:hAnsiTheme="majorAscii" w:cstheme="majorAscii"/>
          <w:sz w:val="20"/>
          <w:szCs w:val="20"/>
        </w:rPr>
        <w:t>. S</w:t>
      </w:r>
      <w:r w:rsidRPr="3B4457E7" w:rsidR="005C6D53">
        <w:rPr>
          <w:rFonts w:ascii="Calibri Light" w:hAnsi="Calibri Light" w:cs="Calibri Light" w:asciiTheme="majorAscii" w:hAnsiTheme="majorAscii" w:cstheme="majorAscii"/>
          <w:sz w:val="20"/>
          <w:szCs w:val="20"/>
        </w:rPr>
        <w:t xml:space="preserve">e caracteriza por presentar proteinuria en rango nefrótico, hipoalbuminemia y edema. En su debut, debe hospitalizarse para evaluar la respuesta a tratamiento, que como primera línea es corticoides. </w:t>
      </w:r>
    </w:p>
    <w:p w:rsidR="3B4457E7" w:rsidP="3B4457E7" w:rsidRDefault="3B4457E7" w14:paraId="3690F929" w14:textId="01192ED7">
      <w:pPr>
        <w:shd w:val="clear" w:color="auto" w:fill="FFFFFF" w:themeFill="background1"/>
        <w:spacing w:line="276" w:lineRule="auto"/>
        <w:jc w:val="both"/>
        <w:rPr>
          <w:rFonts w:ascii="Calibri Light" w:hAnsi="Calibri Light" w:cs="Calibri Light" w:asciiTheme="majorAscii" w:hAnsiTheme="majorAscii" w:cstheme="majorAscii"/>
          <w:b w:val="1"/>
          <w:bCs w:val="1"/>
        </w:rPr>
      </w:pPr>
    </w:p>
    <w:p w:rsidRPr="00C23947" w:rsidR="00C836C5" w:rsidP="00E075F2" w:rsidRDefault="00C836C5" w14:paraId="2980BFAC" w14:textId="22B0E5F1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C23947">
        <w:rPr>
          <w:rFonts w:asciiTheme="majorHAnsi" w:hAnsiTheme="majorHAnsi" w:cstheme="majorHAnsi"/>
          <w:b/>
          <w:bCs/>
        </w:rPr>
        <w:t>R</w:t>
      </w:r>
      <w:r w:rsidRPr="00C23947" w:rsidR="00C23947">
        <w:rPr>
          <w:rFonts w:asciiTheme="majorHAnsi" w:hAnsiTheme="majorHAnsi" w:cstheme="majorHAnsi"/>
          <w:b/>
          <w:bCs/>
        </w:rPr>
        <w:t>EFERENCIAS</w:t>
      </w:r>
    </w:p>
    <w:p w:rsidR="00C23947" w:rsidP="00E075F2" w:rsidRDefault="00C23947" w14:paraId="00E3D825" w14:textId="13193D59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23947">
        <w:rPr>
          <w:rFonts w:asciiTheme="majorHAnsi" w:hAnsiTheme="majorHAnsi" w:cstheme="majorHAnsi"/>
          <w:sz w:val="18"/>
          <w:szCs w:val="18"/>
        </w:rPr>
        <w:t>1)</w:t>
      </w:r>
      <w:proofErr w:type="spellStart"/>
      <w:r w:rsidRPr="00C23947">
        <w:rPr>
          <w:rFonts w:asciiTheme="majorHAnsi" w:hAnsiTheme="majorHAnsi" w:cstheme="majorHAnsi"/>
          <w:sz w:val="18"/>
          <w:szCs w:val="18"/>
        </w:rPr>
        <w:t>Cavagnaro</w:t>
      </w:r>
      <w:proofErr w:type="spellEnd"/>
      <w:r w:rsidRPr="00C2394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proofErr w:type="gramStart"/>
      <w:r w:rsidRPr="00C23947">
        <w:rPr>
          <w:rFonts w:asciiTheme="majorHAnsi" w:hAnsiTheme="majorHAnsi" w:cstheme="majorHAnsi"/>
          <w:sz w:val="18"/>
          <w:szCs w:val="18"/>
        </w:rPr>
        <w:t>F,Síndrome</w:t>
      </w:r>
      <w:proofErr w:type="spellEnd"/>
      <w:proofErr w:type="gramEnd"/>
      <w:r w:rsidRPr="00C23947">
        <w:rPr>
          <w:rFonts w:asciiTheme="majorHAnsi" w:hAnsiTheme="majorHAnsi" w:cstheme="majorHAnsi"/>
          <w:sz w:val="18"/>
          <w:szCs w:val="18"/>
        </w:rPr>
        <w:t xml:space="preserve"> edematoso en pediatría, Manual de Pediatría</w:t>
      </w:r>
      <w:r w:rsidR="00BC6050">
        <w:rPr>
          <w:rFonts w:asciiTheme="majorHAnsi" w:hAnsiTheme="majorHAnsi" w:cstheme="majorHAnsi"/>
          <w:sz w:val="18"/>
          <w:szCs w:val="18"/>
        </w:rPr>
        <w:t>, primera edición.</w:t>
      </w:r>
    </w:p>
    <w:p w:rsidR="00665963" w:rsidP="00E075F2" w:rsidRDefault="00665963" w14:paraId="1ACA809B" w14:textId="48C8CE49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2)P</w:t>
      </w:r>
      <w:r w:rsidRPr="00C23947">
        <w:rPr>
          <w:rFonts w:asciiTheme="majorHAnsi" w:hAnsiTheme="majorHAnsi" w:cstheme="majorHAnsi"/>
          <w:sz w:val="18"/>
          <w:szCs w:val="18"/>
        </w:rPr>
        <w:t>erret Pérez C, Pérez Valenzuela C, Manual de pediatría Universidad Católica, 2020; 381-385</w:t>
      </w:r>
    </w:p>
    <w:p w:rsidRPr="00C23947" w:rsidR="00C23947" w:rsidP="00E075F2" w:rsidRDefault="000F7D0C" w14:paraId="27870E58" w14:textId="46D7C3A2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3</w:t>
      </w:r>
      <w:r w:rsidRPr="00C23947" w:rsidR="00C23947">
        <w:rPr>
          <w:rFonts w:asciiTheme="majorHAnsi" w:hAnsiTheme="majorHAnsi" w:cstheme="majorHAnsi"/>
          <w:sz w:val="18"/>
          <w:szCs w:val="18"/>
        </w:rPr>
        <w:t xml:space="preserve">)Valentini R,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Pathophysiology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and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etiology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of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edema in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children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UpToDate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[internet] actualizado 5 octubre 2023 </w:t>
      </w:r>
    </w:p>
    <w:p w:rsidR="00C23947" w:rsidP="00E075F2" w:rsidRDefault="00B165E1" w14:paraId="033E04FD" w14:textId="307B1CD4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4</w:t>
      </w:r>
      <w:r w:rsidRPr="00C23947" w:rsidR="00C23947">
        <w:rPr>
          <w:rFonts w:asciiTheme="majorHAnsi" w:hAnsiTheme="majorHAnsi" w:cstheme="majorHAnsi"/>
          <w:sz w:val="18"/>
          <w:szCs w:val="18"/>
        </w:rPr>
        <w:t xml:space="preserve">)Valentini R,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Evaluation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and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management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of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edema in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children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UpToDate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[internet], actualizado 22 agosto 2022</w:t>
      </w:r>
    </w:p>
    <w:p w:rsidR="00C23947" w:rsidP="00E075F2" w:rsidRDefault="00BC6050" w14:paraId="4F10448C" w14:textId="39F88611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5</w:t>
      </w:r>
      <w:r w:rsidRPr="00C23947" w:rsidR="00C23947">
        <w:rPr>
          <w:rFonts w:asciiTheme="majorHAnsi" w:hAnsiTheme="majorHAnsi" w:cstheme="majorHAnsi"/>
          <w:sz w:val="18"/>
          <w:szCs w:val="18"/>
        </w:rPr>
        <w:t>)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Niaudet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P,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Clinical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manifestations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, diagnosis, and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evaluation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of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nephrotic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syndrome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children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UpToDate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[internet], actualizado 12 mayo 2023</w:t>
      </w:r>
    </w:p>
    <w:p w:rsidR="00BC6050" w:rsidP="00BC6050" w:rsidRDefault="00BC6050" w14:paraId="478925BA" w14:textId="5C72CA91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6</w:t>
      </w:r>
      <w:r>
        <w:rPr>
          <w:rFonts w:asciiTheme="majorHAnsi" w:hAnsiTheme="majorHAnsi" w:cstheme="majorHAnsi"/>
          <w:sz w:val="18"/>
          <w:szCs w:val="18"/>
        </w:rPr>
        <w:t>)</w:t>
      </w:r>
      <w:r w:rsidRPr="00C23947">
        <w:rPr>
          <w:rFonts w:asciiTheme="majorHAnsi" w:hAnsiTheme="majorHAnsi" w:cstheme="majorHAnsi"/>
          <w:sz w:val="18"/>
          <w:szCs w:val="18"/>
        </w:rPr>
        <w:t xml:space="preserve">Hevia P, </w:t>
      </w:r>
      <w:proofErr w:type="spellStart"/>
      <w:r w:rsidRPr="00C23947">
        <w:rPr>
          <w:rFonts w:asciiTheme="majorHAnsi" w:hAnsiTheme="majorHAnsi" w:cstheme="majorHAnsi"/>
          <w:sz w:val="18"/>
          <w:szCs w:val="18"/>
        </w:rPr>
        <w:t>Nazal</w:t>
      </w:r>
      <w:proofErr w:type="spellEnd"/>
      <w:r w:rsidRPr="00C23947">
        <w:rPr>
          <w:rFonts w:asciiTheme="majorHAnsi" w:hAnsiTheme="majorHAnsi" w:cstheme="majorHAnsi"/>
          <w:sz w:val="18"/>
          <w:szCs w:val="18"/>
        </w:rPr>
        <w:t xml:space="preserve"> V, </w:t>
      </w:r>
      <w:proofErr w:type="spellStart"/>
      <w:r w:rsidRPr="00C23947">
        <w:rPr>
          <w:rFonts w:asciiTheme="majorHAnsi" w:hAnsiTheme="majorHAnsi" w:cstheme="majorHAnsi"/>
          <w:sz w:val="18"/>
          <w:szCs w:val="18"/>
        </w:rPr>
        <w:t>Rosati</w:t>
      </w:r>
      <w:proofErr w:type="spellEnd"/>
      <w:r w:rsidRPr="00C23947">
        <w:rPr>
          <w:rFonts w:asciiTheme="majorHAnsi" w:hAnsiTheme="majorHAnsi" w:cstheme="majorHAnsi"/>
          <w:sz w:val="18"/>
          <w:szCs w:val="18"/>
        </w:rPr>
        <w:t xml:space="preserve"> M, Quiroz L, Alarcón C, </w:t>
      </w:r>
      <w:proofErr w:type="spellStart"/>
      <w:r w:rsidRPr="00C23947">
        <w:rPr>
          <w:rFonts w:asciiTheme="majorHAnsi" w:hAnsiTheme="majorHAnsi" w:cstheme="majorHAnsi"/>
          <w:sz w:val="18"/>
          <w:szCs w:val="18"/>
        </w:rPr>
        <w:t>Marquez</w:t>
      </w:r>
      <w:proofErr w:type="spellEnd"/>
      <w:r w:rsidRPr="00C23947">
        <w:rPr>
          <w:rFonts w:asciiTheme="majorHAnsi" w:hAnsiTheme="majorHAnsi" w:cstheme="majorHAnsi"/>
          <w:sz w:val="18"/>
          <w:szCs w:val="18"/>
        </w:rPr>
        <w:t xml:space="preserve"> S, et al, Síndrome nefrótico idiopático: recomendaciones de la Rama de Nefrología de la Sociedad Chilena de Pediatría. Parte 1, </w:t>
      </w:r>
      <w:proofErr w:type="spellStart"/>
      <w:r w:rsidRPr="00C23947">
        <w:rPr>
          <w:rFonts w:asciiTheme="majorHAnsi" w:hAnsiTheme="majorHAnsi" w:cstheme="majorHAnsi"/>
          <w:sz w:val="18"/>
          <w:szCs w:val="18"/>
        </w:rPr>
        <w:t>Rev</w:t>
      </w:r>
      <w:proofErr w:type="spellEnd"/>
      <w:r w:rsidRPr="00C2394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23947">
        <w:rPr>
          <w:rFonts w:asciiTheme="majorHAnsi" w:hAnsiTheme="majorHAnsi" w:cstheme="majorHAnsi"/>
          <w:sz w:val="18"/>
          <w:szCs w:val="18"/>
        </w:rPr>
        <w:t>Chil</w:t>
      </w:r>
      <w:proofErr w:type="spellEnd"/>
      <w:r w:rsidRPr="00C2394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23947">
        <w:rPr>
          <w:rFonts w:asciiTheme="majorHAnsi" w:hAnsiTheme="majorHAnsi" w:cstheme="majorHAnsi"/>
          <w:sz w:val="18"/>
          <w:szCs w:val="18"/>
        </w:rPr>
        <w:t>Pediatr</w:t>
      </w:r>
      <w:proofErr w:type="spellEnd"/>
      <w:r w:rsidRPr="00C23947">
        <w:rPr>
          <w:rFonts w:asciiTheme="majorHAnsi" w:hAnsiTheme="majorHAnsi" w:cstheme="majorHAnsi"/>
          <w:sz w:val="18"/>
          <w:szCs w:val="18"/>
        </w:rPr>
        <w:t>. 2015;86(4):291-298</w:t>
      </w:r>
    </w:p>
    <w:p w:rsidRPr="00C23947" w:rsidR="00C23947" w:rsidP="00E075F2" w:rsidRDefault="00986C96" w14:paraId="3E22810E" w14:textId="36542CAF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lastRenderedPageBreak/>
        <w:t>7</w:t>
      </w:r>
      <w:r w:rsidR="00C23947">
        <w:rPr>
          <w:rFonts w:asciiTheme="majorHAnsi" w:hAnsiTheme="majorHAnsi" w:cstheme="majorHAnsi"/>
          <w:sz w:val="18"/>
          <w:szCs w:val="18"/>
        </w:rPr>
        <w:t>)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Niaudet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P,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Symptomatic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management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of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nephrotic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syndrome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children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C23947" w:rsidR="00C23947">
        <w:rPr>
          <w:rFonts w:asciiTheme="majorHAnsi" w:hAnsiTheme="majorHAnsi" w:cstheme="majorHAnsi"/>
          <w:sz w:val="18"/>
          <w:szCs w:val="18"/>
        </w:rPr>
        <w:t>UpToDate</w:t>
      </w:r>
      <w:proofErr w:type="spellEnd"/>
      <w:r w:rsidRPr="00C23947" w:rsidR="00C23947">
        <w:rPr>
          <w:rFonts w:asciiTheme="majorHAnsi" w:hAnsiTheme="majorHAnsi" w:cstheme="majorHAnsi"/>
          <w:sz w:val="18"/>
          <w:szCs w:val="18"/>
        </w:rPr>
        <w:t xml:space="preserve"> [internet] actualizado 27 septiembre 2023</w:t>
      </w:r>
    </w:p>
    <w:p w:rsidRPr="00C300DC" w:rsidR="00C23947" w:rsidP="00E075F2" w:rsidRDefault="00986C96" w14:paraId="539B6751" w14:textId="477B57F8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8)</w:t>
      </w:r>
      <w:r w:rsidRPr="00C23947" w:rsidR="00BC6050">
        <w:rPr>
          <w:rFonts w:asciiTheme="majorHAnsi" w:hAnsiTheme="majorHAnsi" w:cstheme="majorHAnsi"/>
          <w:sz w:val="18"/>
          <w:szCs w:val="18"/>
        </w:rPr>
        <w:t xml:space="preserve">Román Ortiz E. Síndrome nefrótico pediátrico. </w:t>
      </w:r>
      <w:proofErr w:type="spellStart"/>
      <w:r w:rsidRPr="00C23947" w:rsidR="00BC6050">
        <w:rPr>
          <w:rFonts w:asciiTheme="majorHAnsi" w:hAnsiTheme="majorHAnsi" w:cstheme="majorHAnsi"/>
          <w:sz w:val="18"/>
          <w:szCs w:val="18"/>
        </w:rPr>
        <w:t>Protoc</w:t>
      </w:r>
      <w:proofErr w:type="spellEnd"/>
      <w:r w:rsidRPr="00C23947" w:rsidR="00BC605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23947" w:rsidR="00BC6050">
        <w:rPr>
          <w:rFonts w:asciiTheme="majorHAnsi" w:hAnsiTheme="majorHAnsi" w:cstheme="majorHAnsi"/>
          <w:sz w:val="18"/>
          <w:szCs w:val="18"/>
        </w:rPr>
        <w:t>diagn</w:t>
      </w:r>
      <w:proofErr w:type="spellEnd"/>
      <w:r w:rsidRPr="00C23947" w:rsidR="00BC6050">
        <w:rPr>
          <w:rFonts w:asciiTheme="majorHAnsi" w:hAnsiTheme="majorHAnsi" w:cstheme="majorHAnsi"/>
          <w:sz w:val="18"/>
          <w:szCs w:val="18"/>
        </w:rPr>
        <w:t xml:space="preserve"> ter </w:t>
      </w:r>
      <w:proofErr w:type="spellStart"/>
      <w:r w:rsidRPr="00C23947" w:rsidR="00BC6050">
        <w:rPr>
          <w:rFonts w:asciiTheme="majorHAnsi" w:hAnsiTheme="majorHAnsi" w:cstheme="majorHAnsi"/>
          <w:sz w:val="18"/>
          <w:szCs w:val="18"/>
        </w:rPr>
        <w:t>pediatr</w:t>
      </w:r>
      <w:proofErr w:type="spellEnd"/>
      <w:r w:rsidRPr="00C23947" w:rsidR="00BC6050">
        <w:rPr>
          <w:rFonts w:asciiTheme="majorHAnsi" w:hAnsiTheme="majorHAnsi" w:cstheme="majorHAnsi"/>
          <w:sz w:val="18"/>
          <w:szCs w:val="18"/>
        </w:rPr>
        <w:t>. 2014; 1:283-301</w:t>
      </w:r>
    </w:p>
    <w:sectPr w:rsidRPr="00C300DC" w:rsidR="00C23947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7A02" w:rsidP="00EA4751" w:rsidRDefault="00CC7A02" w14:paraId="243BFEF8" w14:textId="77777777">
      <w:pPr>
        <w:spacing w:after="0" w:line="240" w:lineRule="auto"/>
      </w:pPr>
      <w:r>
        <w:separator/>
      </w:r>
    </w:p>
  </w:endnote>
  <w:endnote w:type="continuationSeparator" w:id="0">
    <w:p w:rsidR="00CC7A02" w:rsidP="00EA4751" w:rsidRDefault="00CC7A02" w14:paraId="240A3A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7A02" w:rsidP="00EA4751" w:rsidRDefault="00CC7A02" w14:paraId="0105B0E1" w14:textId="77777777">
      <w:pPr>
        <w:spacing w:after="0" w:line="240" w:lineRule="auto"/>
      </w:pPr>
      <w:r>
        <w:separator/>
      </w:r>
    </w:p>
  </w:footnote>
  <w:footnote w:type="continuationSeparator" w:id="0">
    <w:p w:rsidR="00CC7A02" w:rsidP="00EA4751" w:rsidRDefault="00CC7A02" w14:paraId="2EBCA45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2e97f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f5ebe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3b04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a5a0e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2CC074B1"/>
    <w:multiLevelType w:val="hybridMultilevel"/>
    <w:tmpl w:val="E1BC63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73FDD"/>
    <w:multiLevelType w:val="hybridMultilevel"/>
    <w:tmpl w:val="6590C482"/>
    <w:lvl w:ilvl="0" w:tplc="12B89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67A45"/>
    <w:multiLevelType w:val="hybridMultilevel"/>
    <w:tmpl w:val="055AB54A"/>
    <w:lvl w:ilvl="0" w:tplc="B4E08948">
      <w:start w:val="1"/>
      <w:numFmt w:val="bullet"/>
      <w:lvlText w:val="-"/>
      <w:lvlJc w:val="left"/>
      <w:pPr>
        <w:ind w:left="1160" w:hanging="360"/>
      </w:pPr>
      <w:rPr>
        <w:rFonts w:hint="default" w:ascii="Calibri" w:hAnsi="Calibri" w:eastAsia="Times New Roman" w:cs="Calibri"/>
      </w:rPr>
    </w:lvl>
    <w:lvl w:ilvl="1" w:tplc="340A0003" w:tentative="1">
      <w:start w:val="1"/>
      <w:numFmt w:val="bullet"/>
      <w:lvlText w:val="o"/>
      <w:lvlJc w:val="left"/>
      <w:pPr>
        <w:ind w:left="18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6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3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0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7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2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920" w:hanging="360"/>
      </w:pPr>
      <w:rPr>
        <w:rFonts w:hint="default" w:ascii="Wingdings" w:hAnsi="Wingdings"/>
      </w:rPr>
    </w:lvl>
  </w:abstractNum>
  <w:abstractNum w:abstractNumId="3" w15:restartNumberingAfterBreak="0">
    <w:nsid w:val="5BF76ED4"/>
    <w:multiLevelType w:val="hybridMultilevel"/>
    <w:tmpl w:val="07021AD6"/>
    <w:lvl w:ilvl="0" w:tplc="B4E0894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4F34FF6"/>
    <w:multiLevelType w:val="hybridMultilevel"/>
    <w:tmpl w:val="BB148EF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2021736107">
    <w:abstractNumId w:val="4"/>
  </w:num>
  <w:num w:numId="2" w16cid:durableId="216625001">
    <w:abstractNumId w:val="2"/>
  </w:num>
  <w:num w:numId="3" w16cid:durableId="145896187">
    <w:abstractNumId w:val="1"/>
  </w:num>
  <w:num w:numId="4" w16cid:durableId="1409422182">
    <w:abstractNumId w:val="0"/>
  </w:num>
  <w:num w:numId="5" w16cid:durableId="103812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7F8"/>
    <w:rsid w:val="000E2392"/>
    <w:rsid w:val="000F7D0C"/>
    <w:rsid w:val="00105BF2"/>
    <w:rsid w:val="00111A28"/>
    <w:rsid w:val="00224174"/>
    <w:rsid w:val="0022688A"/>
    <w:rsid w:val="00232288"/>
    <w:rsid w:val="0026263A"/>
    <w:rsid w:val="00297334"/>
    <w:rsid w:val="002E2935"/>
    <w:rsid w:val="0034500D"/>
    <w:rsid w:val="0042044C"/>
    <w:rsid w:val="00464C28"/>
    <w:rsid w:val="0051231F"/>
    <w:rsid w:val="00564C6C"/>
    <w:rsid w:val="00574616"/>
    <w:rsid w:val="005C6D53"/>
    <w:rsid w:val="005D5E97"/>
    <w:rsid w:val="00660D07"/>
    <w:rsid w:val="00665963"/>
    <w:rsid w:val="0067326B"/>
    <w:rsid w:val="006B2352"/>
    <w:rsid w:val="00738071"/>
    <w:rsid w:val="00755169"/>
    <w:rsid w:val="00770CF7"/>
    <w:rsid w:val="00797670"/>
    <w:rsid w:val="0083197A"/>
    <w:rsid w:val="008C0B48"/>
    <w:rsid w:val="00967326"/>
    <w:rsid w:val="00986C96"/>
    <w:rsid w:val="009F0531"/>
    <w:rsid w:val="00A10BE0"/>
    <w:rsid w:val="00A25308"/>
    <w:rsid w:val="00AD836F"/>
    <w:rsid w:val="00B165E1"/>
    <w:rsid w:val="00BB75E1"/>
    <w:rsid w:val="00BC6050"/>
    <w:rsid w:val="00C0658D"/>
    <w:rsid w:val="00C23947"/>
    <w:rsid w:val="00C300DC"/>
    <w:rsid w:val="00C836C5"/>
    <w:rsid w:val="00C94825"/>
    <w:rsid w:val="00CC7A02"/>
    <w:rsid w:val="00D2725B"/>
    <w:rsid w:val="00D961F7"/>
    <w:rsid w:val="00DD66F8"/>
    <w:rsid w:val="00E075F2"/>
    <w:rsid w:val="00E52823"/>
    <w:rsid w:val="00EA4751"/>
    <w:rsid w:val="00EE27F8"/>
    <w:rsid w:val="00EF2944"/>
    <w:rsid w:val="00F7557E"/>
    <w:rsid w:val="00F92AEE"/>
    <w:rsid w:val="00FB666C"/>
    <w:rsid w:val="016762CF"/>
    <w:rsid w:val="01804CC6"/>
    <w:rsid w:val="0475B9C6"/>
    <w:rsid w:val="073EE922"/>
    <w:rsid w:val="073EE922"/>
    <w:rsid w:val="07C353F5"/>
    <w:rsid w:val="0B69B54B"/>
    <w:rsid w:val="0E632079"/>
    <w:rsid w:val="0F9241CB"/>
    <w:rsid w:val="0FC7B3EC"/>
    <w:rsid w:val="1049D509"/>
    <w:rsid w:val="116371BE"/>
    <w:rsid w:val="16043EDB"/>
    <w:rsid w:val="18AD5DFC"/>
    <w:rsid w:val="1A1DDE9A"/>
    <w:rsid w:val="1C6343DC"/>
    <w:rsid w:val="21D273BD"/>
    <w:rsid w:val="21D69782"/>
    <w:rsid w:val="21D69782"/>
    <w:rsid w:val="262DC01A"/>
    <w:rsid w:val="26C2FE93"/>
    <w:rsid w:val="29106F01"/>
    <w:rsid w:val="292F65A1"/>
    <w:rsid w:val="325A4F8B"/>
    <w:rsid w:val="33BC97C3"/>
    <w:rsid w:val="35E50CE7"/>
    <w:rsid w:val="3810E045"/>
    <w:rsid w:val="397DD515"/>
    <w:rsid w:val="3A19C739"/>
    <w:rsid w:val="3B4457E7"/>
    <w:rsid w:val="3C91F128"/>
    <w:rsid w:val="3EDDA493"/>
    <w:rsid w:val="3F03FD1E"/>
    <w:rsid w:val="3FE8F519"/>
    <w:rsid w:val="42E6A56C"/>
    <w:rsid w:val="448A1F85"/>
    <w:rsid w:val="45FD4BD0"/>
    <w:rsid w:val="46816C54"/>
    <w:rsid w:val="47246068"/>
    <w:rsid w:val="48C6D85D"/>
    <w:rsid w:val="497D1E4C"/>
    <w:rsid w:val="4AF850EB"/>
    <w:rsid w:val="4AF850EB"/>
    <w:rsid w:val="4AFE172C"/>
    <w:rsid w:val="4B587271"/>
    <w:rsid w:val="4B8F568D"/>
    <w:rsid w:val="4CD9D138"/>
    <w:rsid w:val="4DE4E6E5"/>
    <w:rsid w:val="4EE87F97"/>
    <w:rsid w:val="4F2FFE17"/>
    <w:rsid w:val="54FB1751"/>
    <w:rsid w:val="5520D52A"/>
    <w:rsid w:val="57262A93"/>
    <w:rsid w:val="57262A93"/>
    <w:rsid w:val="5D359030"/>
    <w:rsid w:val="5DFD0AE9"/>
    <w:rsid w:val="6295A12F"/>
    <w:rsid w:val="663C98C1"/>
    <w:rsid w:val="72A440B9"/>
    <w:rsid w:val="7421A680"/>
    <w:rsid w:val="7487BB8F"/>
    <w:rsid w:val="75DF6F25"/>
    <w:rsid w:val="7A697CD3"/>
    <w:rsid w:val="7E50A254"/>
    <w:rsid w:val="7EFF044B"/>
    <w:rsid w:val="7F848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B8BA"/>
  <w15:chartTrackingRefBased/>
  <w15:docId w15:val="{7DD88FF1-19A9-4C12-8BFC-B1B5A85F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1A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36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4751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EA475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A4751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4751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EA475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A4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4FC96-F194-4BF1-A79B-0A408F93B42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Cuenta Generica Medicina Familiar</dc:creator>
  <keywords/>
  <dc:description/>
  <lastModifiedBy>Pamela Elisa Rojas Gonzalez</lastModifiedBy>
  <revision>24</revision>
  <dcterms:created xsi:type="dcterms:W3CDTF">2024-01-24T12:33:00.0000000Z</dcterms:created>
  <dcterms:modified xsi:type="dcterms:W3CDTF">2024-12-02T21:51:11.6845237Z</dcterms:modified>
</coreProperties>
</file>